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FA8FF" w14:textId="54FF12FF" w:rsidR="00002621" w:rsidRPr="00937E6E" w:rsidRDefault="00002621" w:rsidP="00937E6E">
      <w:pPr>
        <w:pStyle w:val="BodyText"/>
        <w:ind w:left="3760"/>
      </w:pPr>
    </w:p>
    <w:p w14:paraId="45E32A9C" w14:textId="77777777" w:rsidR="00002621" w:rsidRPr="00FD7422" w:rsidRDefault="00C42780" w:rsidP="00FD7422">
      <w:pPr>
        <w:pStyle w:val="Title"/>
        <w:rPr>
          <w:szCs w:val="24"/>
        </w:rPr>
      </w:pPr>
      <w:r w:rsidRPr="00FD7422">
        <w:rPr>
          <w:szCs w:val="24"/>
        </w:rPr>
        <w:t xml:space="preserve">NON-DISCLOSURE AND </w:t>
      </w:r>
      <w:r w:rsidR="00937E6E" w:rsidRPr="00FD7422">
        <w:rPr>
          <w:szCs w:val="24"/>
        </w:rPr>
        <w:t>CONFIDENTIALITY AGREEMENT</w:t>
      </w:r>
    </w:p>
    <w:p w14:paraId="36E672B2" w14:textId="77777777" w:rsidR="00002621" w:rsidRPr="00FD7422" w:rsidRDefault="00002621" w:rsidP="00FD7422">
      <w:pPr>
        <w:pStyle w:val="Title"/>
        <w:rPr>
          <w:szCs w:val="24"/>
        </w:rPr>
      </w:pPr>
    </w:p>
    <w:p w14:paraId="41CAF034" w14:textId="31F5CBD5" w:rsidR="00002621" w:rsidRPr="00FD7422" w:rsidRDefault="00937E6E" w:rsidP="00FD7422">
      <w:pPr>
        <w:ind w:firstLine="720"/>
        <w:jc w:val="both"/>
        <w:rPr>
          <w:rFonts w:eastAsia="MS Mincho"/>
          <w:sz w:val="24"/>
          <w:szCs w:val="24"/>
        </w:rPr>
      </w:pPr>
      <w:r w:rsidRPr="00FD7422">
        <w:rPr>
          <w:rFonts w:eastAsia="MS Mincho"/>
          <w:sz w:val="24"/>
          <w:szCs w:val="24"/>
        </w:rPr>
        <w:t xml:space="preserve">This </w:t>
      </w:r>
      <w:r w:rsidR="00FB50C1" w:rsidRPr="00FD7422">
        <w:rPr>
          <w:rFonts w:eastAsia="MS Mincho"/>
          <w:sz w:val="24"/>
          <w:szCs w:val="24"/>
        </w:rPr>
        <w:t>A</w:t>
      </w:r>
      <w:r w:rsidRPr="00FD7422">
        <w:rPr>
          <w:rFonts w:eastAsia="MS Mincho"/>
          <w:sz w:val="24"/>
          <w:szCs w:val="24"/>
        </w:rPr>
        <w:t xml:space="preserve">greement is made effective as of </w:t>
      </w:r>
      <w:r w:rsidR="00FB50C1" w:rsidRPr="00FD7422">
        <w:rPr>
          <w:rFonts w:eastAsia="MS Mincho"/>
          <w:sz w:val="24"/>
          <w:szCs w:val="24"/>
        </w:rPr>
        <w:t xml:space="preserve">the date last signed below (the “Effective Date”) </w:t>
      </w:r>
      <w:r w:rsidRPr="00FD7422">
        <w:rPr>
          <w:rFonts w:eastAsia="MS Mincho"/>
          <w:sz w:val="24"/>
          <w:szCs w:val="24"/>
        </w:rPr>
        <w:t>between Ardelyx,</w:t>
      </w:r>
      <w:r w:rsidR="00C42780" w:rsidRPr="00FD7422">
        <w:rPr>
          <w:rFonts w:eastAsia="MS Mincho"/>
          <w:sz w:val="24"/>
          <w:szCs w:val="24"/>
        </w:rPr>
        <w:t xml:space="preserve"> Inc., a Delaware corporation</w:t>
      </w:r>
      <w:r w:rsidR="00FB50C1" w:rsidRPr="00FD7422">
        <w:rPr>
          <w:rFonts w:eastAsia="MS Mincho"/>
          <w:sz w:val="24"/>
          <w:szCs w:val="24"/>
        </w:rPr>
        <w:t xml:space="preserve"> with offices at 400 Fifth Ave., Suite 210, Waltham, MA 0245</w:t>
      </w:r>
      <w:r w:rsidR="001D264D">
        <w:rPr>
          <w:rFonts w:eastAsia="MS Mincho"/>
          <w:sz w:val="24"/>
          <w:szCs w:val="24"/>
        </w:rPr>
        <w:t xml:space="preserve">1 </w:t>
      </w:r>
      <w:r w:rsidR="00C42780" w:rsidRPr="00FD7422">
        <w:rPr>
          <w:rFonts w:eastAsia="MS Mincho"/>
          <w:sz w:val="24"/>
          <w:szCs w:val="24"/>
        </w:rPr>
        <w:t>(“</w:t>
      </w:r>
      <w:r w:rsidR="00C42780" w:rsidRPr="001A415A">
        <w:rPr>
          <w:rFonts w:eastAsia="MS Mincho"/>
          <w:sz w:val="24"/>
          <w:szCs w:val="24"/>
        </w:rPr>
        <w:t>Ardelyx</w:t>
      </w:r>
      <w:r w:rsidR="00C42780" w:rsidRPr="00FD7422">
        <w:rPr>
          <w:rFonts w:eastAsia="MS Mincho"/>
          <w:sz w:val="24"/>
          <w:szCs w:val="24"/>
        </w:rPr>
        <w:t xml:space="preserve">”), </w:t>
      </w:r>
      <w:r w:rsidR="00F6177A">
        <w:rPr>
          <w:rFonts w:eastAsia="MS Mincho"/>
          <w:sz w:val="24"/>
          <w:szCs w:val="24"/>
        </w:rPr>
        <w:t>Children’s National Hospital</w:t>
      </w:r>
      <w:r w:rsidR="001A415A">
        <w:rPr>
          <w:rFonts w:eastAsia="MS Mincho"/>
          <w:sz w:val="24"/>
          <w:szCs w:val="24"/>
        </w:rPr>
        <w:t xml:space="preserve">, with offices </w:t>
      </w:r>
      <w:r w:rsidR="00F6177A">
        <w:rPr>
          <w:rFonts w:eastAsia="MS Mincho"/>
          <w:sz w:val="24"/>
          <w:szCs w:val="24"/>
        </w:rPr>
        <w:t xml:space="preserve">at 1 </w:t>
      </w:r>
      <w:proofErr w:type="spellStart"/>
      <w:r w:rsidR="00F6177A">
        <w:rPr>
          <w:rFonts w:eastAsia="MS Mincho"/>
          <w:sz w:val="24"/>
          <w:szCs w:val="24"/>
        </w:rPr>
        <w:t>Inventa</w:t>
      </w:r>
      <w:proofErr w:type="spellEnd"/>
      <w:r w:rsidR="00F6177A">
        <w:rPr>
          <w:rFonts w:eastAsia="MS Mincho"/>
          <w:sz w:val="24"/>
          <w:szCs w:val="24"/>
        </w:rPr>
        <w:t xml:space="preserve"> Place, Floor 3, Silver Spring, MD 20910 </w:t>
      </w:r>
      <w:r w:rsidR="00C42780" w:rsidRPr="00FD7422">
        <w:rPr>
          <w:rFonts w:eastAsia="MS Mincho"/>
          <w:sz w:val="24"/>
          <w:szCs w:val="24"/>
        </w:rPr>
        <w:t>(</w:t>
      </w:r>
      <w:r w:rsidRPr="00FD7422">
        <w:rPr>
          <w:rFonts w:eastAsia="MS Mincho"/>
          <w:sz w:val="24"/>
          <w:szCs w:val="24"/>
        </w:rPr>
        <w:t>"</w:t>
      </w:r>
      <w:r w:rsidRPr="001A415A">
        <w:rPr>
          <w:rFonts w:eastAsia="MS Mincho"/>
          <w:sz w:val="24"/>
          <w:szCs w:val="24"/>
        </w:rPr>
        <w:t>Institution</w:t>
      </w:r>
      <w:r w:rsidRPr="00FD7422">
        <w:rPr>
          <w:rFonts w:eastAsia="MS Mincho"/>
          <w:sz w:val="24"/>
          <w:szCs w:val="24"/>
        </w:rPr>
        <w:t>") and</w:t>
      </w:r>
      <w:r w:rsidR="00F6177A">
        <w:rPr>
          <w:rFonts w:eastAsia="MS Mincho"/>
          <w:sz w:val="24"/>
          <w:szCs w:val="24"/>
        </w:rPr>
        <w:t xml:space="preserve"> Anil Darbari</w:t>
      </w:r>
      <w:r w:rsidR="001D264D">
        <w:rPr>
          <w:rFonts w:eastAsia="MS Mincho"/>
          <w:sz w:val="24"/>
          <w:szCs w:val="24"/>
        </w:rPr>
        <w:t xml:space="preserve">, </w:t>
      </w:r>
      <w:r w:rsidR="001A415A" w:rsidRPr="001A415A">
        <w:rPr>
          <w:rFonts w:eastAsia="MS Mincho"/>
          <w:sz w:val="24"/>
          <w:szCs w:val="24"/>
        </w:rPr>
        <w:t>M.D</w:t>
      </w:r>
      <w:r w:rsidR="00FB50C1" w:rsidRPr="00FD7422">
        <w:rPr>
          <w:rFonts w:eastAsia="MS Mincho"/>
          <w:sz w:val="24"/>
          <w:szCs w:val="24"/>
        </w:rPr>
        <w:t>.</w:t>
      </w:r>
      <w:r w:rsidRPr="00FD7422">
        <w:rPr>
          <w:rFonts w:eastAsia="MS Mincho"/>
          <w:sz w:val="24"/>
          <w:szCs w:val="24"/>
        </w:rPr>
        <w:t xml:space="preserve"> (the "</w:t>
      </w:r>
      <w:r w:rsidRPr="001A415A">
        <w:rPr>
          <w:rFonts w:eastAsia="MS Mincho"/>
          <w:sz w:val="24"/>
          <w:szCs w:val="24"/>
        </w:rPr>
        <w:t>Investigator</w:t>
      </w:r>
      <w:r w:rsidRPr="00FD7422">
        <w:rPr>
          <w:rFonts w:eastAsia="MS Mincho"/>
          <w:sz w:val="24"/>
          <w:szCs w:val="24"/>
        </w:rPr>
        <w:t>").</w:t>
      </w:r>
    </w:p>
    <w:p w14:paraId="216DD70E" w14:textId="77777777" w:rsidR="00064BD5" w:rsidRPr="00FD7422" w:rsidRDefault="00064BD5" w:rsidP="00886F72">
      <w:pPr>
        <w:jc w:val="both"/>
        <w:rPr>
          <w:rFonts w:eastAsia="MS Mincho"/>
          <w:sz w:val="24"/>
          <w:szCs w:val="24"/>
        </w:rPr>
      </w:pPr>
    </w:p>
    <w:p w14:paraId="70F8D13F" w14:textId="2879C4AC" w:rsidR="00485C11" w:rsidRDefault="00937E6E" w:rsidP="00287B15">
      <w:pPr>
        <w:jc w:val="both"/>
        <w:rPr>
          <w:rFonts w:eastAsia="MS Mincho"/>
          <w:sz w:val="24"/>
          <w:szCs w:val="24"/>
        </w:rPr>
      </w:pPr>
      <w:r w:rsidRPr="00FD7422">
        <w:rPr>
          <w:rFonts w:eastAsia="MS Mincho"/>
          <w:sz w:val="24"/>
          <w:szCs w:val="24"/>
        </w:rPr>
        <w:t xml:space="preserve">Ardelyx is the sponsor of </w:t>
      </w:r>
      <w:r w:rsidR="005B1045">
        <w:rPr>
          <w:rFonts w:eastAsia="MS Mincho"/>
          <w:sz w:val="24"/>
          <w:szCs w:val="24"/>
        </w:rPr>
        <w:t xml:space="preserve">the following </w:t>
      </w:r>
      <w:r w:rsidRPr="00FD7422">
        <w:rPr>
          <w:rFonts w:eastAsia="MS Mincho"/>
          <w:sz w:val="24"/>
          <w:szCs w:val="24"/>
        </w:rPr>
        <w:t xml:space="preserve">clinical </w:t>
      </w:r>
      <w:r w:rsidR="00485C11">
        <w:rPr>
          <w:rFonts w:eastAsia="MS Mincho"/>
          <w:sz w:val="24"/>
          <w:szCs w:val="24"/>
        </w:rPr>
        <w:t>studies</w:t>
      </w:r>
      <w:r w:rsidR="00154CA8">
        <w:rPr>
          <w:rFonts w:eastAsia="MS Mincho"/>
          <w:sz w:val="24"/>
          <w:szCs w:val="24"/>
        </w:rPr>
        <w:t xml:space="preserve"> as described in the following protocols</w:t>
      </w:r>
      <w:r w:rsidR="00485C11">
        <w:rPr>
          <w:rFonts w:eastAsia="MS Mincho"/>
          <w:sz w:val="24"/>
          <w:szCs w:val="24"/>
        </w:rPr>
        <w:t>:</w:t>
      </w:r>
    </w:p>
    <w:p w14:paraId="054528C6" w14:textId="1FD1DE15" w:rsidR="00485C11" w:rsidRDefault="00485C11" w:rsidP="00287B15">
      <w:pPr>
        <w:jc w:val="both"/>
        <w:rPr>
          <w:rFonts w:eastAsia="MS Mincho"/>
          <w:sz w:val="24"/>
          <w:szCs w:val="24"/>
        </w:rPr>
      </w:pPr>
    </w:p>
    <w:p w14:paraId="767714D1" w14:textId="532DCACC" w:rsidR="00485C11" w:rsidRPr="001A5994" w:rsidRDefault="00485C11" w:rsidP="001A5994">
      <w:pPr>
        <w:pStyle w:val="ListParagraph"/>
        <w:numPr>
          <w:ilvl w:val="0"/>
          <w:numId w:val="4"/>
        </w:numPr>
        <w:jc w:val="both"/>
      </w:pPr>
      <w:r w:rsidRPr="001A5994">
        <w:rPr>
          <w:u w:val="single"/>
        </w:rPr>
        <w:t>Protocol Number: TEN-01-304</w:t>
      </w:r>
      <w:r w:rsidRPr="001A5994">
        <w:t xml:space="preserve">: A 12-Week, Randomized, Double-Blind, Placebo-Controlled, Phase 3 Study to Assess the Safety and Efficacy of </w:t>
      </w:r>
      <w:proofErr w:type="spellStart"/>
      <w:r w:rsidRPr="001A5994">
        <w:t>Tenapanor</w:t>
      </w:r>
      <w:proofErr w:type="spellEnd"/>
      <w:r w:rsidRPr="001A5994">
        <w:t xml:space="preserve"> for the Treatment of Irritable Bowel Syndrome</w:t>
      </w:r>
    </w:p>
    <w:p w14:paraId="51667B61" w14:textId="3CCA91A0" w:rsidR="00485C11" w:rsidRPr="001A5994" w:rsidRDefault="00485C11" w:rsidP="001A5994">
      <w:pPr>
        <w:ind w:firstLine="720"/>
        <w:jc w:val="both"/>
      </w:pPr>
      <w:r w:rsidRPr="001A5994">
        <w:t>with Constipation (IBS-C) in Pediatric Subjects 12 to Less than 18 Years Old</w:t>
      </w:r>
      <w:r w:rsidR="005B1045" w:rsidRPr="001A5994">
        <w:t xml:space="preserve"> (“</w:t>
      </w:r>
      <w:r w:rsidR="005B1045" w:rsidRPr="001A5994">
        <w:rPr>
          <w:u w:val="single"/>
        </w:rPr>
        <w:t>Study TEN-01-304</w:t>
      </w:r>
      <w:r w:rsidR="005B1045" w:rsidRPr="001A5994">
        <w:t>”</w:t>
      </w:r>
      <w:proofErr w:type="gramStart"/>
      <w:r w:rsidR="005B1045" w:rsidRPr="001A5994">
        <w:t>);</w:t>
      </w:r>
      <w:proofErr w:type="gramEnd"/>
      <w:r w:rsidR="005B1045" w:rsidRPr="001A5994">
        <w:t xml:space="preserve"> </w:t>
      </w:r>
    </w:p>
    <w:p w14:paraId="63980FFA" w14:textId="77777777" w:rsidR="00485C11" w:rsidRPr="001A5994" w:rsidRDefault="00485C11" w:rsidP="00137CFA">
      <w:pPr>
        <w:jc w:val="both"/>
      </w:pPr>
    </w:p>
    <w:p w14:paraId="5BA9DE8F" w14:textId="3CB76257" w:rsidR="00485C11" w:rsidRPr="001A5994" w:rsidRDefault="00485C11" w:rsidP="001A5994">
      <w:pPr>
        <w:pStyle w:val="ListParagraph"/>
        <w:numPr>
          <w:ilvl w:val="0"/>
          <w:numId w:val="4"/>
        </w:numPr>
        <w:jc w:val="both"/>
      </w:pPr>
      <w:r w:rsidRPr="001A5994">
        <w:rPr>
          <w:u w:val="single"/>
        </w:rPr>
        <w:t>Protocol Number TEN-01-306</w:t>
      </w:r>
      <w:r w:rsidRPr="001A5994">
        <w:t xml:space="preserve">: An Open-Label Long-Term Safety Study of </w:t>
      </w:r>
      <w:proofErr w:type="spellStart"/>
      <w:r w:rsidRPr="001A5994">
        <w:t>Tenapanor</w:t>
      </w:r>
      <w:proofErr w:type="spellEnd"/>
      <w:r w:rsidRPr="001A5994">
        <w:t xml:space="preserve"> for the</w:t>
      </w:r>
    </w:p>
    <w:p w14:paraId="10687051" w14:textId="4C3D23A1" w:rsidR="00485C11" w:rsidRPr="001A5994" w:rsidRDefault="00485C11" w:rsidP="001A5994">
      <w:pPr>
        <w:ind w:left="720"/>
        <w:jc w:val="both"/>
      </w:pPr>
      <w:r w:rsidRPr="001A5994">
        <w:t>Treatment of Irritable Bowel Syndrome with Constipation (IBS-C) in Pediatric Patients 6 to Less than 18 Years Old</w:t>
      </w:r>
      <w:r w:rsidR="005B1045" w:rsidRPr="001A5994">
        <w:t xml:space="preserve"> (“Study TEN-01-306”); and </w:t>
      </w:r>
    </w:p>
    <w:p w14:paraId="11A98EB2" w14:textId="77777777" w:rsidR="00485C11" w:rsidRPr="001A5994" w:rsidRDefault="00485C11" w:rsidP="00137CFA">
      <w:pPr>
        <w:jc w:val="both"/>
      </w:pPr>
    </w:p>
    <w:p w14:paraId="527C07E0" w14:textId="455B9F06" w:rsidR="00485C11" w:rsidRPr="001A5994" w:rsidRDefault="00485C11" w:rsidP="001A5994">
      <w:pPr>
        <w:pStyle w:val="ListParagraph"/>
        <w:numPr>
          <w:ilvl w:val="0"/>
          <w:numId w:val="4"/>
        </w:numPr>
        <w:jc w:val="both"/>
      </w:pPr>
      <w:r w:rsidRPr="001A5994">
        <w:rPr>
          <w:u w:val="single"/>
        </w:rPr>
        <w:t>Protocol Number TEN-01-202</w:t>
      </w:r>
      <w:r w:rsidRPr="001A5994">
        <w:t xml:space="preserve">: A 4-Week, Randomized, Double-Blind, Placebo-Controlled, Dose-Ranging Study to Assess the Safety and Efficacy of </w:t>
      </w:r>
      <w:proofErr w:type="spellStart"/>
      <w:r w:rsidRPr="001A5994">
        <w:t>Tenapanor</w:t>
      </w:r>
      <w:proofErr w:type="spellEnd"/>
      <w:r w:rsidRPr="001A5994">
        <w:t xml:space="preserve"> for the Treatment of Irritable Bowel</w:t>
      </w:r>
    </w:p>
    <w:p w14:paraId="16008D58" w14:textId="77777777" w:rsidR="00137CFA" w:rsidRPr="001A5994" w:rsidRDefault="00485C11" w:rsidP="001A5994">
      <w:pPr>
        <w:ind w:left="720"/>
        <w:jc w:val="both"/>
      </w:pPr>
      <w:r w:rsidRPr="001A5994">
        <w:t>Syndrome with Constipation (IBS-C) in Pediatric Subjects 6 to Less than 12 Years Old</w:t>
      </w:r>
      <w:r w:rsidR="005B1045" w:rsidRPr="001A5994">
        <w:t xml:space="preserve"> (“Study</w:t>
      </w:r>
      <w:r w:rsidR="00154CA8" w:rsidRPr="001A5994">
        <w:t xml:space="preserve"> TEN-01-202”).  </w:t>
      </w:r>
    </w:p>
    <w:p w14:paraId="2ECA3B8D" w14:textId="77777777" w:rsidR="00137CFA" w:rsidRDefault="00137CFA" w:rsidP="00137CFA">
      <w:pPr>
        <w:jc w:val="both"/>
      </w:pPr>
    </w:p>
    <w:p w14:paraId="0DDFF79A" w14:textId="2015B240" w:rsidR="00064BD5" w:rsidRPr="00FD7422" w:rsidRDefault="00154CA8" w:rsidP="001A5994">
      <w:pPr>
        <w:ind w:firstLine="720"/>
        <w:jc w:val="both"/>
        <w:rPr>
          <w:rFonts w:eastAsia="MS Mincho"/>
          <w:sz w:val="24"/>
          <w:szCs w:val="24"/>
        </w:rPr>
      </w:pPr>
      <w:r>
        <w:t>Study TEN-01-304, Study TEN-01-306 and Study TEN-01-202 are collectively referred to as the “Study</w:t>
      </w:r>
      <w:r w:rsidR="001A5994">
        <w:t>”</w:t>
      </w:r>
      <w:r>
        <w:t xml:space="preserve"> or </w:t>
      </w:r>
      <w:r w:rsidR="001A5994">
        <w:t xml:space="preserve">the </w:t>
      </w:r>
      <w:r>
        <w:t xml:space="preserve">“Studies”.  </w:t>
      </w:r>
      <w:r w:rsidR="00937E6E" w:rsidRPr="00FD7422">
        <w:rPr>
          <w:rFonts w:eastAsia="MS Mincho"/>
          <w:sz w:val="24"/>
          <w:szCs w:val="24"/>
        </w:rPr>
        <w:t xml:space="preserve">The </w:t>
      </w:r>
      <w:r>
        <w:rPr>
          <w:rFonts w:eastAsia="MS Mincho"/>
          <w:sz w:val="24"/>
          <w:szCs w:val="24"/>
        </w:rPr>
        <w:t>p</w:t>
      </w:r>
      <w:r w:rsidR="00937E6E" w:rsidRPr="00FD7422">
        <w:rPr>
          <w:rFonts w:eastAsia="MS Mincho"/>
          <w:sz w:val="24"/>
          <w:szCs w:val="24"/>
        </w:rPr>
        <w:t>rotocol</w:t>
      </w:r>
      <w:r w:rsidR="0012232E">
        <w:rPr>
          <w:rFonts w:eastAsia="MS Mincho"/>
          <w:sz w:val="24"/>
          <w:szCs w:val="24"/>
        </w:rPr>
        <w:t>s</w:t>
      </w:r>
      <w:r w:rsidR="00C42780" w:rsidRPr="00FD7422">
        <w:rPr>
          <w:rFonts w:eastAsia="MS Mincho"/>
          <w:sz w:val="24"/>
          <w:szCs w:val="24"/>
        </w:rPr>
        <w:t xml:space="preserve"> fully </w:t>
      </w:r>
      <w:r w:rsidR="00937E6E" w:rsidRPr="00FD7422">
        <w:rPr>
          <w:rFonts w:eastAsia="MS Mincho"/>
          <w:sz w:val="24"/>
          <w:szCs w:val="24"/>
        </w:rPr>
        <w:t xml:space="preserve">detail the clinical research activities and responsibilities to be undertaken in </w:t>
      </w:r>
      <w:r w:rsidR="0012232E">
        <w:rPr>
          <w:rFonts w:eastAsia="MS Mincho"/>
          <w:sz w:val="24"/>
          <w:szCs w:val="24"/>
        </w:rPr>
        <w:t xml:space="preserve">each of </w:t>
      </w:r>
      <w:r w:rsidR="00937E6E" w:rsidRPr="00FD7422">
        <w:rPr>
          <w:rFonts w:eastAsia="MS Mincho"/>
          <w:sz w:val="24"/>
          <w:szCs w:val="24"/>
        </w:rPr>
        <w:t>th</w:t>
      </w:r>
      <w:r w:rsidR="00C42780" w:rsidRPr="00FD7422">
        <w:rPr>
          <w:rFonts w:eastAsia="MS Mincho"/>
          <w:sz w:val="24"/>
          <w:szCs w:val="24"/>
        </w:rPr>
        <w:t>e Stud</w:t>
      </w:r>
      <w:r w:rsidR="0012232E">
        <w:rPr>
          <w:rFonts w:eastAsia="MS Mincho"/>
          <w:sz w:val="24"/>
          <w:szCs w:val="24"/>
        </w:rPr>
        <w:t>ies</w:t>
      </w:r>
      <w:r w:rsidR="00C42780" w:rsidRPr="00FD7422">
        <w:rPr>
          <w:rFonts w:eastAsia="MS Mincho"/>
          <w:sz w:val="24"/>
          <w:szCs w:val="24"/>
        </w:rPr>
        <w:t xml:space="preserve">. Ardelyx has contacted Institution and Investigator </w:t>
      </w:r>
      <w:r w:rsidR="00937E6E" w:rsidRPr="00FD7422">
        <w:rPr>
          <w:rFonts w:eastAsia="MS Mincho"/>
          <w:sz w:val="24"/>
          <w:szCs w:val="24"/>
        </w:rPr>
        <w:t>to determine Institution's and Investigator's interest in participating in the St</w:t>
      </w:r>
      <w:r w:rsidR="00C42780" w:rsidRPr="00FD7422">
        <w:rPr>
          <w:rFonts w:eastAsia="MS Mincho"/>
          <w:sz w:val="24"/>
          <w:szCs w:val="24"/>
        </w:rPr>
        <w:t>ud</w:t>
      </w:r>
      <w:r w:rsidR="0012232E">
        <w:rPr>
          <w:rFonts w:eastAsia="MS Mincho"/>
          <w:sz w:val="24"/>
          <w:szCs w:val="24"/>
        </w:rPr>
        <w:t>ies</w:t>
      </w:r>
      <w:r w:rsidR="00C42780" w:rsidRPr="00FD7422">
        <w:rPr>
          <w:rFonts w:eastAsia="MS Mincho"/>
          <w:sz w:val="24"/>
          <w:szCs w:val="24"/>
        </w:rPr>
        <w:t xml:space="preserve"> This agreement is entered into to ensure </w:t>
      </w:r>
      <w:r w:rsidR="00937E6E" w:rsidRPr="00FD7422">
        <w:rPr>
          <w:rFonts w:eastAsia="MS Mincho"/>
          <w:sz w:val="24"/>
          <w:szCs w:val="24"/>
        </w:rPr>
        <w:t>the protection of confidential information belonging to Ardelyx, which will be disclosed to Institution and/ or Investigator by or on behalf of Ardelyx.</w:t>
      </w:r>
    </w:p>
    <w:p w14:paraId="642A754F" w14:textId="77777777" w:rsidR="00886F72" w:rsidRPr="00FD7422" w:rsidRDefault="00886F72" w:rsidP="00886F72">
      <w:pPr>
        <w:jc w:val="both"/>
        <w:rPr>
          <w:rFonts w:eastAsia="MS Mincho"/>
          <w:sz w:val="24"/>
          <w:szCs w:val="24"/>
        </w:rPr>
      </w:pPr>
    </w:p>
    <w:p w14:paraId="4BE3318A" w14:textId="56B00B7D" w:rsidR="00064BD5" w:rsidRPr="00FD7422" w:rsidRDefault="00937E6E" w:rsidP="007A161B">
      <w:pPr>
        <w:ind w:firstLine="720"/>
        <w:jc w:val="both"/>
        <w:rPr>
          <w:rFonts w:eastAsia="MS Mincho"/>
          <w:sz w:val="24"/>
          <w:szCs w:val="24"/>
        </w:rPr>
      </w:pPr>
      <w:r w:rsidRPr="00FD7422">
        <w:rPr>
          <w:rFonts w:eastAsia="MS Mincho"/>
          <w:sz w:val="24"/>
          <w:szCs w:val="24"/>
        </w:rPr>
        <w:t xml:space="preserve">Institution and Investigator agree that all information disclosed  and  all  materials  provided,  whether disclosed to Investigator or Institution, or otherwise, by or on behalf of Ardelyx, including, but not limited to </w:t>
      </w:r>
      <w:r w:rsidR="0012232E">
        <w:rPr>
          <w:rFonts w:eastAsia="MS Mincho"/>
          <w:sz w:val="24"/>
          <w:szCs w:val="24"/>
        </w:rPr>
        <w:t>each</w:t>
      </w:r>
      <w:r w:rsidRPr="00FD7422">
        <w:rPr>
          <w:rFonts w:eastAsia="MS Mincho"/>
          <w:sz w:val="24"/>
          <w:szCs w:val="24"/>
        </w:rPr>
        <w:t xml:space="preserve"> </w:t>
      </w:r>
      <w:r w:rsidR="008C2AA0">
        <w:rPr>
          <w:rFonts w:eastAsia="MS Mincho"/>
          <w:sz w:val="24"/>
          <w:szCs w:val="24"/>
        </w:rPr>
        <w:t>p</w:t>
      </w:r>
      <w:r w:rsidRPr="00FD7422">
        <w:rPr>
          <w:rFonts w:eastAsia="MS Mincho"/>
          <w:sz w:val="24"/>
          <w:szCs w:val="24"/>
        </w:rPr>
        <w:t xml:space="preserve">rotocol, any business or technical information of Ardelyx, the identity of Ardelyx, information  relating to the study drug, study designs, study costs, and any technology or know-how (collectively, "Confidential Information") shall be used by Institution and Investigator for the sole purpose of determining each of their respective interests in participating in the Study, and not for any </w:t>
      </w:r>
      <w:r w:rsidR="00C42780" w:rsidRPr="00FD7422">
        <w:rPr>
          <w:rFonts w:eastAsia="MS Mincho"/>
          <w:sz w:val="24"/>
          <w:szCs w:val="24"/>
        </w:rPr>
        <w:t xml:space="preserve">other purpose. Institution and Investigator </w:t>
      </w:r>
      <w:r w:rsidRPr="00FD7422">
        <w:rPr>
          <w:rFonts w:eastAsia="MS Mincho"/>
          <w:sz w:val="24"/>
          <w:szCs w:val="24"/>
        </w:rPr>
        <w:t>will maintain in strict confidence, and will not use or disclose, except as expressly permitted under</w:t>
      </w:r>
      <w:r w:rsidR="00C42780" w:rsidRPr="00FD7422">
        <w:rPr>
          <w:rFonts w:eastAsia="MS Mincho"/>
          <w:sz w:val="24"/>
          <w:szCs w:val="24"/>
        </w:rPr>
        <w:t xml:space="preserve"> this Agreement, any </w:t>
      </w:r>
      <w:r w:rsidRPr="00FD7422">
        <w:rPr>
          <w:rFonts w:eastAsia="MS Mincho"/>
          <w:sz w:val="24"/>
          <w:szCs w:val="24"/>
        </w:rPr>
        <w:t>Con</w:t>
      </w:r>
      <w:r w:rsidR="00886F72" w:rsidRPr="00FD7422">
        <w:rPr>
          <w:rFonts w:eastAsia="MS Mincho"/>
          <w:sz w:val="24"/>
          <w:szCs w:val="24"/>
        </w:rPr>
        <w:t xml:space="preserve">fidential Information, provided </w:t>
      </w:r>
      <w:r w:rsidRPr="00FD7422">
        <w:rPr>
          <w:rFonts w:eastAsia="MS Mincho"/>
          <w:sz w:val="24"/>
          <w:szCs w:val="24"/>
        </w:rPr>
        <w:t>that such obligation shall not apply to information Institution or Investigator can show:</w:t>
      </w:r>
    </w:p>
    <w:p w14:paraId="65F04CCD" w14:textId="77777777" w:rsidR="00064BD5" w:rsidRPr="00FD7422" w:rsidRDefault="00064BD5" w:rsidP="00886F72">
      <w:pPr>
        <w:jc w:val="both"/>
        <w:rPr>
          <w:rFonts w:eastAsia="MS Mincho"/>
          <w:sz w:val="24"/>
          <w:szCs w:val="24"/>
        </w:rPr>
      </w:pPr>
    </w:p>
    <w:p w14:paraId="4EBF543A" w14:textId="77777777" w:rsidR="00002621" w:rsidRPr="00FD7422" w:rsidRDefault="00937E6E" w:rsidP="00886F72">
      <w:pPr>
        <w:pStyle w:val="ListParagraph"/>
        <w:numPr>
          <w:ilvl w:val="0"/>
          <w:numId w:val="2"/>
        </w:numPr>
        <w:jc w:val="both"/>
        <w:rPr>
          <w:rFonts w:eastAsia="MS Mincho"/>
          <w:sz w:val="24"/>
          <w:szCs w:val="24"/>
        </w:rPr>
      </w:pPr>
      <w:r w:rsidRPr="00FD7422">
        <w:rPr>
          <w:rFonts w:eastAsia="MS Mincho"/>
          <w:sz w:val="24"/>
          <w:szCs w:val="24"/>
        </w:rPr>
        <w:t xml:space="preserve">was already in its possession at the time of disclosure by or on behalf of </w:t>
      </w:r>
      <w:proofErr w:type="gramStart"/>
      <w:r w:rsidRPr="00FD7422">
        <w:rPr>
          <w:rFonts w:eastAsia="MS Mincho"/>
          <w:sz w:val="24"/>
          <w:szCs w:val="24"/>
        </w:rPr>
        <w:t>Ardelyx;</w:t>
      </w:r>
      <w:proofErr w:type="gramEnd"/>
    </w:p>
    <w:p w14:paraId="1D0F034C" w14:textId="77777777" w:rsidR="00002621" w:rsidRPr="00FD7422" w:rsidRDefault="00937E6E" w:rsidP="00886F72">
      <w:pPr>
        <w:pStyle w:val="ListParagraph"/>
        <w:numPr>
          <w:ilvl w:val="0"/>
          <w:numId w:val="2"/>
        </w:numPr>
        <w:jc w:val="both"/>
        <w:rPr>
          <w:rFonts w:eastAsia="MS Mincho"/>
          <w:sz w:val="24"/>
          <w:szCs w:val="24"/>
        </w:rPr>
      </w:pPr>
      <w:r w:rsidRPr="00FD7422">
        <w:rPr>
          <w:rFonts w:eastAsia="MS Mincho"/>
          <w:sz w:val="24"/>
          <w:szCs w:val="24"/>
        </w:rPr>
        <w:t xml:space="preserve">was in the public domain at the time of disclosure by or on behalf of </w:t>
      </w:r>
      <w:proofErr w:type="gramStart"/>
      <w:r w:rsidRPr="00FD7422">
        <w:rPr>
          <w:rFonts w:eastAsia="MS Mincho"/>
          <w:sz w:val="24"/>
          <w:szCs w:val="24"/>
        </w:rPr>
        <w:t>Ardelyx;</w:t>
      </w:r>
      <w:proofErr w:type="gramEnd"/>
    </w:p>
    <w:p w14:paraId="63FE465C" w14:textId="77777777" w:rsidR="00002621" w:rsidRPr="00FD7422" w:rsidRDefault="00937E6E" w:rsidP="00886F72">
      <w:pPr>
        <w:pStyle w:val="ListParagraph"/>
        <w:numPr>
          <w:ilvl w:val="0"/>
          <w:numId w:val="2"/>
        </w:numPr>
        <w:jc w:val="both"/>
        <w:rPr>
          <w:rFonts w:eastAsia="MS Mincho"/>
          <w:sz w:val="24"/>
          <w:szCs w:val="24"/>
        </w:rPr>
      </w:pPr>
      <w:r w:rsidRPr="00FD7422">
        <w:rPr>
          <w:rFonts w:eastAsia="MS Mincho"/>
          <w:sz w:val="24"/>
          <w:szCs w:val="24"/>
        </w:rPr>
        <w:t>later bec</w:t>
      </w:r>
      <w:r w:rsidR="00C42780" w:rsidRPr="00FD7422">
        <w:rPr>
          <w:rFonts w:eastAsia="MS Mincho"/>
          <w:sz w:val="24"/>
          <w:szCs w:val="24"/>
        </w:rPr>
        <w:t xml:space="preserve">omes part of the public domain </w:t>
      </w:r>
      <w:r w:rsidRPr="00FD7422">
        <w:rPr>
          <w:rFonts w:eastAsia="MS Mincho"/>
          <w:sz w:val="24"/>
          <w:szCs w:val="24"/>
        </w:rPr>
        <w:t>throu</w:t>
      </w:r>
      <w:r w:rsidR="00C42780" w:rsidRPr="00FD7422">
        <w:rPr>
          <w:rFonts w:eastAsia="MS Mincho"/>
          <w:sz w:val="24"/>
          <w:szCs w:val="24"/>
        </w:rPr>
        <w:t xml:space="preserve">gh no fault of the Institution </w:t>
      </w:r>
      <w:r w:rsidRPr="00FD7422">
        <w:rPr>
          <w:rFonts w:eastAsia="MS Mincho"/>
          <w:sz w:val="24"/>
          <w:szCs w:val="24"/>
        </w:rPr>
        <w:t xml:space="preserve">or </w:t>
      </w:r>
      <w:proofErr w:type="gramStart"/>
      <w:r w:rsidRPr="00FD7422">
        <w:rPr>
          <w:rFonts w:eastAsia="MS Mincho"/>
          <w:sz w:val="24"/>
          <w:szCs w:val="24"/>
        </w:rPr>
        <w:t>Investigator;</w:t>
      </w:r>
      <w:proofErr w:type="gramEnd"/>
    </w:p>
    <w:p w14:paraId="2CDE29C4" w14:textId="77777777" w:rsidR="00002621" w:rsidRPr="00FD7422" w:rsidRDefault="00937E6E" w:rsidP="00886F72">
      <w:pPr>
        <w:pStyle w:val="ListParagraph"/>
        <w:numPr>
          <w:ilvl w:val="0"/>
          <w:numId w:val="2"/>
        </w:numPr>
        <w:jc w:val="both"/>
        <w:rPr>
          <w:rFonts w:eastAsia="MS Mincho"/>
          <w:sz w:val="24"/>
          <w:szCs w:val="24"/>
        </w:rPr>
      </w:pPr>
      <w:r w:rsidRPr="00FD7422">
        <w:rPr>
          <w:rFonts w:eastAsia="MS Mincho"/>
          <w:sz w:val="24"/>
          <w:szCs w:val="24"/>
        </w:rPr>
        <w:t>was received without an obligation of confidentiality from a third party have the legal right to make such unrestricted disclosure; or</w:t>
      </w:r>
    </w:p>
    <w:p w14:paraId="61F4FEB8" w14:textId="77777777" w:rsidR="00002621" w:rsidRPr="00FD7422" w:rsidRDefault="00C42780" w:rsidP="00886F72">
      <w:pPr>
        <w:pStyle w:val="ListParagraph"/>
        <w:numPr>
          <w:ilvl w:val="0"/>
          <w:numId w:val="2"/>
        </w:numPr>
        <w:jc w:val="both"/>
        <w:rPr>
          <w:rFonts w:eastAsia="MS Mincho"/>
          <w:sz w:val="24"/>
          <w:szCs w:val="24"/>
        </w:rPr>
      </w:pPr>
      <w:r w:rsidRPr="00FD7422">
        <w:rPr>
          <w:rFonts w:eastAsia="MS Mincho"/>
          <w:sz w:val="24"/>
          <w:szCs w:val="24"/>
        </w:rPr>
        <w:t xml:space="preserve">was independently developed </w:t>
      </w:r>
      <w:r w:rsidR="00937E6E" w:rsidRPr="00FD7422">
        <w:rPr>
          <w:rFonts w:eastAsia="MS Mincho"/>
          <w:sz w:val="24"/>
          <w:szCs w:val="24"/>
        </w:rPr>
        <w:t>by the Institution or Investigator.</w:t>
      </w:r>
    </w:p>
    <w:p w14:paraId="0EDCD3BB" w14:textId="77777777" w:rsidR="00064BD5" w:rsidRPr="00FD7422" w:rsidRDefault="00064BD5" w:rsidP="00886F72">
      <w:pPr>
        <w:jc w:val="both"/>
        <w:rPr>
          <w:sz w:val="24"/>
          <w:szCs w:val="24"/>
        </w:rPr>
      </w:pPr>
    </w:p>
    <w:p w14:paraId="46D83C69" w14:textId="77777777" w:rsidR="001A5994" w:rsidRDefault="00937E6E" w:rsidP="007A161B">
      <w:pPr>
        <w:ind w:firstLine="720"/>
        <w:jc w:val="both"/>
        <w:rPr>
          <w:rFonts w:eastAsia="MS Mincho"/>
          <w:sz w:val="24"/>
          <w:szCs w:val="24"/>
        </w:rPr>
      </w:pPr>
      <w:r w:rsidRPr="00FD7422">
        <w:rPr>
          <w:rFonts w:eastAsia="MS Mincho"/>
          <w:sz w:val="24"/>
          <w:szCs w:val="24"/>
        </w:rPr>
        <w:t>Neither Institution nor Investigator shall not be</w:t>
      </w:r>
      <w:r w:rsidR="00C42780" w:rsidRPr="00FD7422">
        <w:rPr>
          <w:rFonts w:eastAsia="MS Mincho"/>
          <w:sz w:val="24"/>
          <w:szCs w:val="24"/>
        </w:rPr>
        <w:t xml:space="preserve"> prohibited </w:t>
      </w:r>
      <w:r w:rsidRPr="00FD7422">
        <w:rPr>
          <w:rFonts w:eastAsia="MS Mincho"/>
          <w:sz w:val="24"/>
          <w:szCs w:val="24"/>
        </w:rPr>
        <w:t xml:space="preserve">from disclosing Confidential Information if required to do so </w:t>
      </w:r>
      <w:proofErr w:type="gramStart"/>
      <w:r w:rsidRPr="00FD7422">
        <w:rPr>
          <w:rFonts w:eastAsia="MS Mincho"/>
          <w:sz w:val="24"/>
          <w:szCs w:val="24"/>
        </w:rPr>
        <w:t>in order to</w:t>
      </w:r>
      <w:proofErr w:type="gramEnd"/>
      <w:r w:rsidRPr="00FD7422">
        <w:rPr>
          <w:rFonts w:eastAsia="MS Mincho"/>
          <w:sz w:val="24"/>
          <w:szCs w:val="24"/>
        </w:rPr>
        <w:t xml:space="preserve"> comply with a legal or administrative proceeding or otherwise to comply with a legal requirement; provided, that Institution or Investigator, as the case </w:t>
      </w:r>
    </w:p>
    <w:p w14:paraId="3CE239E8" w14:textId="77777777" w:rsidR="001A5994" w:rsidRDefault="001A5994" w:rsidP="007A161B">
      <w:pPr>
        <w:ind w:firstLine="720"/>
        <w:jc w:val="both"/>
        <w:rPr>
          <w:rFonts w:eastAsia="MS Mincho"/>
          <w:sz w:val="24"/>
          <w:szCs w:val="24"/>
        </w:rPr>
      </w:pPr>
    </w:p>
    <w:p w14:paraId="4A234FF2" w14:textId="47BED7F2" w:rsidR="001A5994" w:rsidRDefault="001A5994">
      <w:pPr>
        <w:rPr>
          <w:rFonts w:eastAsia="MS Mincho"/>
          <w:sz w:val="24"/>
          <w:szCs w:val="24"/>
        </w:rPr>
      </w:pPr>
      <w:r>
        <w:rPr>
          <w:rFonts w:eastAsia="MS Mincho"/>
          <w:sz w:val="24"/>
          <w:szCs w:val="24"/>
        </w:rPr>
        <w:br w:type="page"/>
      </w:r>
    </w:p>
    <w:p w14:paraId="48B35C37" w14:textId="2BC54636" w:rsidR="00002621" w:rsidRPr="00FD7422" w:rsidRDefault="00937E6E" w:rsidP="001A5994">
      <w:pPr>
        <w:jc w:val="both"/>
        <w:rPr>
          <w:rFonts w:eastAsia="MS Mincho"/>
          <w:sz w:val="24"/>
          <w:szCs w:val="24"/>
        </w:rPr>
      </w:pPr>
      <w:proofErr w:type="gramStart"/>
      <w:r w:rsidRPr="00FD7422">
        <w:rPr>
          <w:rFonts w:eastAsia="MS Mincho"/>
          <w:sz w:val="24"/>
          <w:szCs w:val="24"/>
        </w:rPr>
        <w:lastRenderedPageBreak/>
        <w:t>may  be</w:t>
      </w:r>
      <w:proofErr w:type="gramEnd"/>
      <w:r w:rsidRPr="00FD7422">
        <w:rPr>
          <w:rFonts w:eastAsia="MS Mincho"/>
          <w:sz w:val="24"/>
          <w:szCs w:val="24"/>
        </w:rPr>
        <w:t xml:space="preserve">,  provides  Ardelyx  with prompt written notice of such required disclosure prior  to making such  disclosure,  and  provided,  further, that Institution or Investigator, as the case may be, assists Ardelyx, at  the expense of  Ardelyx, in any efforts  to avoid or limit the compelled disclosure of Confidential  </w:t>
      </w:r>
      <w:r w:rsidR="00C42780" w:rsidRPr="00FD7422">
        <w:rPr>
          <w:rFonts w:eastAsia="MS Mincho"/>
          <w:sz w:val="24"/>
          <w:szCs w:val="24"/>
        </w:rPr>
        <w:t>Information.</w:t>
      </w:r>
    </w:p>
    <w:p w14:paraId="23E57510" w14:textId="77777777" w:rsidR="00886F72" w:rsidRPr="00FD7422" w:rsidRDefault="00886F72" w:rsidP="00886F72">
      <w:pPr>
        <w:jc w:val="both"/>
        <w:rPr>
          <w:rFonts w:eastAsia="MS Mincho"/>
          <w:sz w:val="24"/>
          <w:szCs w:val="24"/>
        </w:rPr>
      </w:pPr>
    </w:p>
    <w:p w14:paraId="34C89A70" w14:textId="2B1474F2" w:rsidR="00002621" w:rsidRDefault="00937E6E" w:rsidP="007A161B">
      <w:pPr>
        <w:ind w:firstLine="720"/>
        <w:jc w:val="both"/>
        <w:rPr>
          <w:rFonts w:eastAsia="MS Mincho"/>
          <w:sz w:val="24"/>
          <w:szCs w:val="24"/>
        </w:rPr>
      </w:pPr>
      <w:r w:rsidRPr="00FD7422">
        <w:rPr>
          <w:rFonts w:eastAsia="MS Mincho"/>
          <w:sz w:val="24"/>
          <w:szCs w:val="24"/>
        </w:rPr>
        <w:t>Institution and Investigator each agree to use the same degree of care to maintain the confidentiality of all Confidential Information that it uses to maintain the confidentiality of its own information o</w:t>
      </w:r>
      <w:r w:rsidR="00C42780" w:rsidRPr="00FD7422">
        <w:rPr>
          <w:rFonts w:eastAsia="MS Mincho"/>
          <w:sz w:val="24"/>
          <w:szCs w:val="24"/>
        </w:rPr>
        <w:t xml:space="preserve">f similar importance, but in no </w:t>
      </w:r>
      <w:r w:rsidRPr="00FD7422">
        <w:rPr>
          <w:rFonts w:eastAsia="MS Mincho"/>
          <w:sz w:val="24"/>
          <w:szCs w:val="24"/>
        </w:rPr>
        <w:t xml:space="preserve">event will it use less than reasonable care. </w:t>
      </w:r>
      <w:r w:rsidR="00C42780" w:rsidRPr="00FD7422">
        <w:rPr>
          <w:rFonts w:eastAsia="MS Mincho"/>
          <w:sz w:val="24"/>
          <w:szCs w:val="24"/>
        </w:rPr>
        <w:t xml:space="preserve">All rights, including, but not limited to, </w:t>
      </w:r>
      <w:r w:rsidRPr="00FD7422">
        <w:rPr>
          <w:rFonts w:eastAsia="MS Mincho"/>
          <w:sz w:val="24"/>
          <w:szCs w:val="24"/>
        </w:rPr>
        <w:t>patent rights and trade secrets in the Confidential Information shall remain the</w:t>
      </w:r>
      <w:r w:rsidR="00C42780" w:rsidRPr="00FD7422">
        <w:rPr>
          <w:rFonts w:eastAsia="MS Mincho"/>
          <w:sz w:val="24"/>
          <w:szCs w:val="24"/>
        </w:rPr>
        <w:t xml:space="preserve"> property of </w:t>
      </w:r>
      <w:r w:rsidRPr="00FD7422">
        <w:rPr>
          <w:rFonts w:eastAsia="MS Mincho"/>
          <w:sz w:val="24"/>
          <w:szCs w:val="24"/>
        </w:rPr>
        <w:t>Ardelyx.  Instituti</w:t>
      </w:r>
      <w:r w:rsidR="00C42780" w:rsidRPr="00FD7422">
        <w:rPr>
          <w:rFonts w:eastAsia="MS Mincho"/>
          <w:sz w:val="24"/>
          <w:szCs w:val="24"/>
        </w:rPr>
        <w:t xml:space="preserve">on and Investigator each agree to return all copies, including </w:t>
      </w:r>
      <w:r w:rsidRPr="00FD7422">
        <w:rPr>
          <w:rFonts w:eastAsia="MS Mincho"/>
          <w:sz w:val="24"/>
          <w:szCs w:val="24"/>
        </w:rPr>
        <w:t>summaries and memorandum prepared by Institution or Investigator, of Confidential Information to Sponsor upon request at any time.</w:t>
      </w:r>
      <w:r w:rsidR="00DD0982">
        <w:rPr>
          <w:rFonts w:eastAsia="MS Mincho"/>
          <w:sz w:val="24"/>
          <w:szCs w:val="24"/>
        </w:rPr>
        <w:t xml:space="preserve">  </w:t>
      </w:r>
      <w:r w:rsidRPr="00FD7422">
        <w:rPr>
          <w:rFonts w:eastAsia="MS Mincho"/>
          <w:sz w:val="24"/>
          <w:szCs w:val="24"/>
        </w:rPr>
        <w:t>If Institution or Investigator determine not to participate in the Study, he/she/it shall pro</w:t>
      </w:r>
      <w:r w:rsidR="00C42780" w:rsidRPr="00FD7422">
        <w:rPr>
          <w:rFonts w:eastAsia="MS Mincho"/>
          <w:sz w:val="24"/>
          <w:szCs w:val="24"/>
        </w:rPr>
        <w:t xml:space="preserve">mptly destroy all Confidential Information </w:t>
      </w:r>
      <w:r w:rsidRPr="00FD7422">
        <w:rPr>
          <w:rFonts w:eastAsia="MS Mincho"/>
          <w:sz w:val="24"/>
          <w:szCs w:val="24"/>
        </w:rPr>
        <w:t>provided hereunder.</w:t>
      </w:r>
    </w:p>
    <w:p w14:paraId="0ED99A4D" w14:textId="77777777" w:rsidR="00886F72" w:rsidRPr="00FD7422" w:rsidRDefault="00886F72" w:rsidP="00886F72">
      <w:pPr>
        <w:jc w:val="both"/>
        <w:rPr>
          <w:rFonts w:eastAsia="MS Mincho"/>
          <w:sz w:val="24"/>
          <w:szCs w:val="24"/>
        </w:rPr>
      </w:pPr>
    </w:p>
    <w:p w14:paraId="4D0126C2" w14:textId="77777777" w:rsidR="00002621" w:rsidRPr="00FD7422" w:rsidRDefault="00937E6E" w:rsidP="007A161B">
      <w:pPr>
        <w:ind w:firstLine="720"/>
        <w:jc w:val="both"/>
        <w:rPr>
          <w:rFonts w:eastAsia="MS Mincho"/>
          <w:sz w:val="24"/>
          <w:szCs w:val="24"/>
        </w:rPr>
      </w:pPr>
      <w:r w:rsidRPr="00FD7422">
        <w:rPr>
          <w:rFonts w:eastAsia="MS Mincho"/>
          <w:sz w:val="24"/>
          <w:szCs w:val="24"/>
        </w:rPr>
        <w:t>Eac</w:t>
      </w:r>
      <w:r w:rsidR="00C42780" w:rsidRPr="00FD7422">
        <w:rPr>
          <w:rFonts w:eastAsia="MS Mincho"/>
          <w:sz w:val="24"/>
          <w:szCs w:val="24"/>
        </w:rPr>
        <w:t>h party hereto is en</w:t>
      </w:r>
      <w:r w:rsidR="00064BD5" w:rsidRPr="00FD7422">
        <w:rPr>
          <w:rFonts w:eastAsia="MS Mincho"/>
          <w:sz w:val="24"/>
          <w:szCs w:val="24"/>
        </w:rPr>
        <w:t xml:space="preserve">tering into </w:t>
      </w:r>
      <w:r w:rsidR="00C42780" w:rsidRPr="00FD7422">
        <w:rPr>
          <w:rFonts w:eastAsia="MS Mincho"/>
          <w:sz w:val="24"/>
          <w:szCs w:val="24"/>
        </w:rPr>
        <w:t xml:space="preserve">this agreement with each other with the understanding that no party will </w:t>
      </w:r>
      <w:r w:rsidRPr="00FD7422">
        <w:rPr>
          <w:rFonts w:eastAsia="MS Mincho"/>
          <w:sz w:val="24"/>
          <w:szCs w:val="24"/>
        </w:rPr>
        <w:t>be obligated to enter into any further agreement with another party. Nothing in this agreement shall be construed as granting a license to Institution or Investigator. None of the terms of this agreement shall be amended except in writing signed by both parties.</w:t>
      </w:r>
    </w:p>
    <w:p w14:paraId="4038AF74" w14:textId="77777777" w:rsidR="00064BD5" w:rsidRPr="00FD7422" w:rsidRDefault="00064BD5" w:rsidP="00886F72">
      <w:pPr>
        <w:jc w:val="both"/>
        <w:rPr>
          <w:rFonts w:eastAsia="MS Mincho"/>
          <w:sz w:val="24"/>
          <w:szCs w:val="24"/>
        </w:rPr>
      </w:pPr>
    </w:p>
    <w:p w14:paraId="59AFB9D9" w14:textId="60435F18" w:rsidR="00002621" w:rsidRPr="00FD7422" w:rsidRDefault="00937E6E" w:rsidP="00FD7422">
      <w:pPr>
        <w:ind w:firstLine="720"/>
        <w:jc w:val="both"/>
        <w:rPr>
          <w:rFonts w:eastAsia="MS Mincho"/>
          <w:sz w:val="24"/>
          <w:szCs w:val="24"/>
        </w:rPr>
      </w:pPr>
      <w:r w:rsidRPr="00FD7422">
        <w:rPr>
          <w:rFonts w:eastAsia="MS Mincho"/>
          <w:sz w:val="24"/>
          <w:szCs w:val="24"/>
        </w:rPr>
        <w:t xml:space="preserve">This agreement shall remain in effect for a period of one (1) year from </w:t>
      </w:r>
      <w:r w:rsidR="00FB50C1" w:rsidRPr="00FD7422">
        <w:rPr>
          <w:rFonts w:eastAsia="MS Mincho"/>
          <w:sz w:val="24"/>
          <w:szCs w:val="24"/>
        </w:rPr>
        <w:t xml:space="preserve">the </w:t>
      </w:r>
      <w:r w:rsidRPr="00FD7422">
        <w:rPr>
          <w:rFonts w:eastAsia="MS Mincho"/>
          <w:sz w:val="24"/>
          <w:szCs w:val="24"/>
        </w:rPr>
        <w:t>Effective Date; provided, however, that the obligations of non-disclosure and non-use hereunder shall continue for a period of seven (7) years from the Effective Date.</w:t>
      </w:r>
      <w:r w:rsidR="00064BD5" w:rsidRPr="00FD7422">
        <w:rPr>
          <w:rFonts w:eastAsia="MS Mincho"/>
          <w:sz w:val="24"/>
          <w:szCs w:val="24"/>
        </w:rPr>
        <w:t xml:space="preserve"> </w:t>
      </w:r>
    </w:p>
    <w:p w14:paraId="4579A953" w14:textId="77777777" w:rsidR="00002621" w:rsidRPr="00FD7422" w:rsidRDefault="00002621" w:rsidP="00886F72">
      <w:pPr>
        <w:jc w:val="both"/>
        <w:rPr>
          <w:rFonts w:eastAsia="MS Mincho"/>
          <w:sz w:val="24"/>
          <w:szCs w:val="24"/>
        </w:rPr>
      </w:pPr>
    </w:p>
    <w:p w14:paraId="6761B9C7" w14:textId="0CE9BF8D" w:rsidR="00002621" w:rsidRDefault="00937E6E" w:rsidP="00FD7422">
      <w:pPr>
        <w:ind w:firstLine="720"/>
        <w:jc w:val="both"/>
        <w:rPr>
          <w:rFonts w:eastAsia="MS Mincho"/>
          <w:sz w:val="24"/>
          <w:szCs w:val="24"/>
        </w:rPr>
      </w:pPr>
      <w:r w:rsidRPr="00FD7422">
        <w:rPr>
          <w:rFonts w:eastAsia="MS Mincho"/>
          <w:sz w:val="24"/>
          <w:szCs w:val="24"/>
        </w:rPr>
        <w:t xml:space="preserve">Institution and Investigator each acknowledge that any breach of its obligations </w:t>
      </w:r>
      <w:r w:rsidR="00064BD5" w:rsidRPr="00FD7422">
        <w:rPr>
          <w:rFonts w:eastAsia="MS Mincho"/>
          <w:sz w:val="24"/>
          <w:szCs w:val="24"/>
        </w:rPr>
        <w:t xml:space="preserve">under this </w:t>
      </w:r>
      <w:r w:rsidRPr="00FD7422">
        <w:rPr>
          <w:rFonts w:eastAsia="MS Mincho"/>
          <w:sz w:val="24"/>
          <w:szCs w:val="24"/>
        </w:rPr>
        <w:t>Agreement will cause irreparable harm to Ardelyx and that monetary damages will not be adequate to compensate Ardelyx. Institution and Investigator each acknowledge and agree that Ardelyx</w:t>
      </w:r>
      <w:r w:rsidR="00C42780" w:rsidRPr="00FD7422">
        <w:rPr>
          <w:rFonts w:eastAsia="MS Mincho"/>
          <w:sz w:val="24"/>
          <w:szCs w:val="24"/>
        </w:rPr>
        <w:t xml:space="preserve"> shall </w:t>
      </w:r>
      <w:r w:rsidRPr="00FD7422">
        <w:rPr>
          <w:rFonts w:eastAsia="MS Mincho"/>
          <w:sz w:val="24"/>
          <w:szCs w:val="24"/>
        </w:rPr>
        <w:t>have the right, in addition to any</w:t>
      </w:r>
      <w:r w:rsidR="00C42780" w:rsidRPr="00FD7422">
        <w:rPr>
          <w:rFonts w:eastAsia="MS Mincho"/>
          <w:sz w:val="24"/>
          <w:szCs w:val="24"/>
        </w:rPr>
        <w:t xml:space="preserve"> remedies</w:t>
      </w:r>
      <w:r w:rsidRPr="00FD7422">
        <w:rPr>
          <w:rFonts w:eastAsia="MS Mincho"/>
          <w:sz w:val="24"/>
          <w:szCs w:val="24"/>
        </w:rPr>
        <w:t xml:space="preserve"> available at law, to obtain injunctive relief to enforce the terms of this agreement. This agreement shall be construed and enforced in accordance with </w:t>
      </w:r>
      <w:r w:rsidR="00C42780" w:rsidRPr="00FD7422">
        <w:rPr>
          <w:rFonts w:eastAsia="MS Mincho"/>
          <w:sz w:val="24"/>
          <w:szCs w:val="24"/>
        </w:rPr>
        <w:t xml:space="preserve">the </w:t>
      </w:r>
      <w:r w:rsidRPr="00FD7422">
        <w:rPr>
          <w:rFonts w:eastAsia="MS Mincho"/>
          <w:sz w:val="24"/>
          <w:szCs w:val="24"/>
        </w:rPr>
        <w:t xml:space="preserve">laws </w:t>
      </w:r>
      <w:r w:rsidR="00064BD5" w:rsidRPr="00FD7422">
        <w:rPr>
          <w:rFonts w:eastAsia="MS Mincho"/>
          <w:sz w:val="24"/>
          <w:szCs w:val="24"/>
        </w:rPr>
        <w:t xml:space="preserve">of </w:t>
      </w:r>
      <w:r w:rsidR="00137CFA">
        <w:rPr>
          <w:rFonts w:eastAsia="MS Mincho"/>
          <w:sz w:val="24"/>
          <w:szCs w:val="24"/>
        </w:rPr>
        <w:t>the State of Delaware</w:t>
      </w:r>
      <w:r w:rsidR="00064BD5" w:rsidRPr="00FD7422">
        <w:rPr>
          <w:rFonts w:eastAsia="MS Mincho"/>
          <w:sz w:val="24"/>
          <w:szCs w:val="24"/>
        </w:rPr>
        <w:t xml:space="preserve">, without regard </w:t>
      </w:r>
      <w:r w:rsidRPr="00FD7422">
        <w:rPr>
          <w:rFonts w:eastAsia="MS Mincho"/>
          <w:sz w:val="24"/>
          <w:szCs w:val="24"/>
        </w:rPr>
        <w:t xml:space="preserve">to </w:t>
      </w:r>
      <w:r w:rsidR="00064BD5" w:rsidRPr="00FD7422">
        <w:rPr>
          <w:rFonts w:eastAsia="MS Mincho"/>
          <w:sz w:val="24"/>
          <w:szCs w:val="24"/>
        </w:rPr>
        <w:t xml:space="preserve">its </w:t>
      </w:r>
      <w:r w:rsidRPr="00FD7422">
        <w:rPr>
          <w:rFonts w:eastAsia="MS Mincho"/>
          <w:sz w:val="24"/>
          <w:szCs w:val="24"/>
        </w:rPr>
        <w:t xml:space="preserve">conflict </w:t>
      </w:r>
      <w:r w:rsidR="00064BD5" w:rsidRPr="00FD7422">
        <w:rPr>
          <w:rFonts w:eastAsia="MS Mincho"/>
          <w:sz w:val="24"/>
          <w:szCs w:val="24"/>
        </w:rPr>
        <w:t xml:space="preserve">of </w:t>
      </w:r>
      <w:proofErr w:type="spellStart"/>
      <w:r w:rsidRPr="00FD7422">
        <w:rPr>
          <w:rFonts w:eastAsia="MS Mincho"/>
          <w:sz w:val="24"/>
          <w:szCs w:val="24"/>
        </w:rPr>
        <w:t>laws</w:t>
      </w:r>
      <w:proofErr w:type="spellEnd"/>
      <w:r w:rsidR="006C594C" w:rsidRPr="00FD7422">
        <w:rPr>
          <w:rFonts w:eastAsia="MS Mincho"/>
          <w:sz w:val="24"/>
          <w:szCs w:val="24"/>
        </w:rPr>
        <w:t xml:space="preserve"> </w:t>
      </w:r>
      <w:r w:rsidRPr="00FD7422">
        <w:rPr>
          <w:rFonts w:eastAsia="MS Mincho"/>
          <w:sz w:val="24"/>
          <w:szCs w:val="24"/>
        </w:rPr>
        <w:t>provisions.</w:t>
      </w:r>
    </w:p>
    <w:p w14:paraId="01D5AE41" w14:textId="7D8A9C4C" w:rsidR="00706FD8" w:rsidRDefault="00706FD8" w:rsidP="00FD7422">
      <w:pPr>
        <w:ind w:firstLine="720"/>
        <w:jc w:val="both"/>
        <w:rPr>
          <w:rFonts w:eastAsia="MS Mincho"/>
          <w:sz w:val="24"/>
          <w:szCs w:val="24"/>
        </w:rPr>
      </w:pPr>
    </w:p>
    <w:p w14:paraId="499B01A7" w14:textId="226B9A20" w:rsidR="00706FD8" w:rsidRDefault="00706FD8" w:rsidP="00706FD8">
      <w:pPr>
        <w:jc w:val="center"/>
        <w:rPr>
          <w:rFonts w:eastAsia="MS Mincho"/>
          <w:sz w:val="24"/>
          <w:szCs w:val="24"/>
        </w:rPr>
      </w:pPr>
      <w:r>
        <w:rPr>
          <w:rFonts w:eastAsia="MS Mincho"/>
          <w:sz w:val="24"/>
          <w:szCs w:val="24"/>
        </w:rPr>
        <w:t>****</w:t>
      </w:r>
    </w:p>
    <w:p w14:paraId="15048C3A" w14:textId="0496282E" w:rsidR="001A5994" w:rsidRDefault="001A5994" w:rsidP="00706FD8">
      <w:pPr>
        <w:jc w:val="center"/>
        <w:rPr>
          <w:rFonts w:eastAsia="MS Mincho"/>
          <w:sz w:val="24"/>
          <w:szCs w:val="24"/>
        </w:rPr>
      </w:pPr>
    </w:p>
    <w:p w14:paraId="0F9016F9" w14:textId="25CE1305" w:rsidR="001A5994" w:rsidRDefault="001A5994" w:rsidP="00706FD8">
      <w:pPr>
        <w:jc w:val="center"/>
        <w:rPr>
          <w:rFonts w:eastAsia="MS Mincho"/>
          <w:sz w:val="24"/>
          <w:szCs w:val="24"/>
        </w:rPr>
      </w:pPr>
    </w:p>
    <w:p w14:paraId="6DBC6202" w14:textId="68384D16" w:rsidR="001A5994" w:rsidRPr="00FD7422" w:rsidRDefault="001A5994" w:rsidP="00706FD8">
      <w:pPr>
        <w:jc w:val="center"/>
        <w:rPr>
          <w:rFonts w:eastAsia="MS Mincho"/>
          <w:sz w:val="24"/>
          <w:szCs w:val="24"/>
        </w:rPr>
      </w:pPr>
      <w:r>
        <w:rPr>
          <w:rFonts w:eastAsia="MS Mincho"/>
          <w:sz w:val="24"/>
          <w:szCs w:val="24"/>
        </w:rPr>
        <w:t>(Signature page to follow)</w:t>
      </w:r>
    </w:p>
    <w:p w14:paraId="2B210553" w14:textId="77777777" w:rsidR="001A5994" w:rsidRDefault="001A5994">
      <w:pPr>
        <w:rPr>
          <w:rFonts w:eastAsia="MS Mincho"/>
          <w:sz w:val="24"/>
          <w:szCs w:val="24"/>
        </w:rPr>
      </w:pPr>
      <w:r>
        <w:rPr>
          <w:rFonts w:eastAsia="MS Mincho"/>
          <w:sz w:val="24"/>
          <w:szCs w:val="24"/>
        </w:rPr>
        <w:br w:type="page"/>
      </w:r>
    </w:p>
    <w:p w14:paraId="2CD6088F" w14:textId="6A2BA6E9" w:rsidR="00002621" w:rsidRPr="00FD7422" w:rsidRDefault="00937E6E" w:rsidP="00FD7422">
      <w:pPr>
        <w:ind w:firstLine="720"/>
        <w:jc w:val="both"/>
        <w:rPr>
          <w:rFonts w:eastAsia="MS Mincho"/>
          <w:sz w:val="24"/>
          <w:szCs w:val="24"/>
        </w:rPr>
      </w:pPr>
      <w:r w:rsidRPr="00FD7422">
        <w:rPr>
          <w:rFonts w:eastAsia="MS Mincho"/>
          <w:sz w:val="24"/>
          <w:szCs w:val="24"/>
        </w:rPr>
        <w:lastRenderedPageBreak/>
        <w:t>The parties have caused</w:t>
      </w:r>
      <w:r w:rsidR="00C42780" w:rsidRPr="00FD7422">
        <w:rPr>
          <w:rFonts w:eastAsia="MS Mincho"/>
          <w:sz w:val="24"/>
          <w:szCs w:val="24"/>
        </w:rPr>
        <w:t xml:space="preserve"> this Agreement to be executed</w:t>
      </w:r>
      <w:r w:rsidRPr="00FD7422">
        <w:rPr>
          <w:rFonts w:eastAsia="MS Mincho"/>
          <w:sz w:val="24"/>
          <w:szCs w:val="24"/>
        </w:rPr>
        <w:t xml:space="preserve"> by their duly authorized representatives.</w:t>
      </w:r>
    </w:p>
    <w:p w14:paraId="2A1333C3" w14:textId="77777777" w:rsidR="00002621" w:rsidRPr="001209C5" w:rsidRDefault="00002621" w:rsidP="00886F72">
      <w:pPr>
        <w:pStyle w:val="BodyText"/>
        <w:spacing w:before="1"/>
        <w:jc w:val="both"/>
        <w:rPr>
          <w:sz w:val="24"/>
          <w:szCs w:val="24"/>
        </w:rPr>
      </w:pPr>
    </w:p>
    <w:p w14:paraId="668D6C4D" w14:textId="0E759B46" w:rsidR="00FD7422" w:rsidRDefault="00F6177A">
      <w:pPr>
        <w:pStyle w:val="BodyText"/>
        <w:rPr>
          <w:b/>
          <w:bCs/>
          <w:sz w:val="24"/>
          <w:szCs w:val="24"/>
        </w:rPr>
      </w:pPr>
      <w:r>
        <w:rPr>
          <w:b/>
          <w:bCs/>
          <w:sz w:val="24"/>
          <w:szCs w:val="24"/>
        </w:rPr>
        <w:t>CHILDREN’S NATIONAL HOSPITAL</w:t>
      </w:r>
      <w:r w:rsidR="00FD7422">
        <w:rPr>
          <w:b/>
          <w:bCs/>
          <w:sz w:val="24"/>
          <w:szCs w:val="24"/>
        </w:rPr>
        <w:tab/>
      </w:r>
      <w:r w:rsidR="00FD7422">
        <w:rPr>
          <w:b/>
          <w:bCs/>
          <w:sz w:val="24"/>
          <w:szCs w:val="24"/>
        </w:rPr>
        <w:tab/>
      </w:r>
      <w:r w:rsidR="00FD7422">
        <w:rPr>
          <w:b/>
          <w:bCs/>
          <w:sz w:val="24"/>
          <w:szCs w:val="24"/>
        </w:rPr>
        <w:tab/>
        <w:t>ARDELYX, INC.</w:t>
      </w:r>
    </w:p>
    <w:p w14:paraId="039742A9" w14:textId="5CE4F9AD" w:rsidR="00FD7422" w:rsidRDefault="00FD7422">
      <w:pPr>
        <w:pStyle w:val="BodyText"/>
        <w:rPr>
          <w:b/>
          <w:bCs/>
          <w:sz w:val="24"/>
          <w:szCs w:val="24"/>
        </w:rPr>
      </w:pPr>
    </w:p>
    <w:p w14:paraId="574B4919" w14:textId="7E402975" w:rsidR="00FD7422" w:rsidRDefault="00FD7422">
      <w:pPr>
        <w:pStyle w:val="BodyText"/>
        <w:rPr>
          <w:b/>
          <w:bCs/>
          <w:sz w:val="24"/>
          <w:szCs w:val="24"/>
        </w:rPr>
      </w:pPr>
    </w:p>
    <w:p w14:paraId="7E83647D" w14:textId="79369761" w:rsidR="00FD7422" w:rsidRDefault="00FD7422">
      <w:pPr>
        <w:pStyle w:val="BodyText"/>
        <w:rPr>
          <w:sz w:val="24"/>
          <w:szCs w:val="24"/>
          <w:u w:val="single"/>
        </w:rPr>
      </w:pPr>
      <w:r>
        <w:rPr>
          <w:sz w:val="24"/>
          <w:szCs w:val="24"/>
        </w:rPr>
        <w:t>By:</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rPr>
        <w:tab/>
        <w:t>By:</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E5A6950" w14:textId="2D86EC51" w:rsidR="00FD7422" w:rsidRDefault="00FD7422">
      <w:pPr>
        <w:pStyle w:val="BodyText"/>
        <w:rPr>
          <w:sz w:val="24"/>
          <w:szCs w:val="24"/>
          <w:u w:val="single"/>
        </w:rPr>
      </w:pPr>
    </w:p>
    <w:p w14:paraId="2C24B97E" w14:textId="12C413E4" w:rsidR="00FD7422" w:rsidRDefault="00FD7422">
      <w:pPr>
        <w:pStyle w:val="BodyText"/>
        <w:rPr>
          <w:sz w:val="24"/>
          <w:szCs w:val="24"/>
          <w:u w:val="single"/>
        </w:rPr>
      </w:pPr>
      <w:r>
        <w:rPr>
          <w:sz w:val="24"/>
          <w:szCs w:val="24"/>
        </w:rPr>
        <w:t>Name: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rPr>
        <w:tab/>
        <w:t>Name: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73BC8AE" w14:textId="1B8E6D31" w:rsidR="00FD7422" w:rsidRDefault="00FD7422">
      <w:pPr>
        <w:pStyle w:val="BodyText"/>
        <w:rPr>
          <w:sz w:val="24"/>
          <w:szCs w:val="24"/>
          <w:u w:val="single"/>
        </w:rPr>
      </w:pPr>
    </w:p>
    <w:p w14:paraId="41FFAA32" w14:textId="045AD6BA" w:rsidR="00FD7422" w:rsidRDefault="00FD7422">
      <w:pPr>
        <w:pStyle w:val="BodyText"/>
        <w:rPr>
          <w:sz w:val="24"/>
          <w:szCs w:val="24"/>
          <w:u w:val="single"/>
        </w:rPr>
      </w:pPr>
      <w:r>
        <w:rPr>
          <w:sz w:val="24"/>
          <w:szCs w:val="24"/>
        </w:rPr>
        <w:t>Title: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rPr>
        <w:tab/>
        <w:t>Title: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BEC4D27" w14:textId="235891C2" w:rsidR="00FD7422" w:rsidRDefault="00FD7422">
      <w:pPr>
        <w:pStyle w:val="BodyText"/>
        <w:rPr>
          <w:sz w:val="24"/>
          <w:szCs w:val="24"/>
          <w:u w:val="single"/>
        </w:rPr>
      </w:pPr>
    </w:p>
    <w:p w14:paraId="17DC88FC" w14:textId="7289CF05" w:rsidR="00FD7422" w:rsidRDefault="00FD7422">
      <w:pPr>
        <w:pStyle w:val="BodyText"/>
        <w:rPr>
          <w:sz w:val="24"/>
          <w:szCs w:val="24"/>
          <w:u w:val="single"/>
        </w:rPr>
      </w:pPr>
      <w:r>
        <w:rPr>
          <w:sz w:val="24"/>
          <w:szCs w:val="24"/>
        </w:rPr>
        <w:t>Date: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rPr>
        <w:tab/>
        <w:t>Date: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BD7E083" w14:textId="13CCD86F" w:rsidR="00FD7422" w:rsidRDefault="00FD7422">
      <w:pPr>
        <w:pStyle w:val="BodyText"/>
        <w:rPr>
          <w:sz w:val="24"/>
          <w:szCs w:val="24"/>
          <w:u w:val="single"/>
        </w:rPr>
      </w:pPr>
    </w:p>
    <w:p w14:paraId="3497E1CF" w14:textId="41BE809D" w:rsidR="00FD7422" w:rsidRDefault="00FD7422">
      <w:pPr>
        <w:pStyle w:val="BodyText"/>
        <w:rPr>
          <w:sz w:val="24"/>
          <w:szCs w:val="24"/>
          <w:u w:val="single"/>
        </w:rPr>
      </w:pPr>
    </w:p>
    <w:p w14:paraId="7F39AE1D" w14:textId="48242B3A" w:rsidR="00886F72" w:rsidRPr="001209C5" w:rsidRDefault="006C594C" w:rsidP="00886F72">
      <w:pPr>
        <w:ind w:left="4680" w:hanging="4680"/>
        <w:rPr>
          <w:b/>
          <w:sz w:val="24"/>
          <w:szCs w:val="24"/>
        </w:rPr>
      </w:pPr>
      <w:r w:rsidRPr="001209C5">
        <w:rPr>
          <w:b/>
          <w:sz w:val="24"/>
          <w:szCs w:val="24"/>
        </w:rPr>
        <w:t>INVESTIGATOR</w:t>
      </w:r>
      <w:r w:rsidR="00886F72" w:rsidRPr="001209C5">
        <w:rPr>
          <w:b/>
          <w:sz w:val="24"/>
          <w:szCs w:val="24"/>
        </w:rPr>
        <w:tab/>
      </w:r>
    </w:p>
    <w:p w14:paraId="62D98751" w14:textId="77777777" w:rsidR="00886F72" w:rsidRPr="001209C5" w:rsidRDefault="00886F72" w:rsidP="00886F72">
      <w:pPr>
        <w:ind w:left="4680" w:hanging="4680"/>
        <w:rPr>
          <w:sz w:val="24"/>
          <w:szCs w:val="24"/>
        </w:rPr>
      </w:pPr>
    </w:p>
    <w:p w14:paraId="4E292722" w14:textId="77777777" w:rsidR="00886F72" w:rsidRPr="001209C5" w:rsidRDefault="00886F72" w:rsidP="00886F72">
      <w:pPr>
        <w:tabs>
          <w:tab w:val="left" w:pos="720"/>
          <w:tab w:val="left" w:pos="1440"/>
          <w:tab w:val="left" w:pos="4320"/>
          <w:tab w:val="left" w:pos="4680"/>
        </w:tabs>
        <w:ind w:left="4680" w:hanging="4680"/>
        <w:rPr>
          <w:sz w:val="24"/>
          <w:szCs w:val="24"/>
        </w:rPr>
      </w:pPr>
      <w:r w:rsidRPr="001209C5">
        <w:rPr>
          <w:sz w:val="24"/>
          <w:szCs w:val="24"/>
        </w:rPr>
        <w:t xml:space="preserve">  </w:t>
      </w:r>
    </w:p>
    <w:p w14:paraId="4015234E" w14:textId="0C656EC6" w:rsidR="00002621" w:rsidRDefault="00FD7422">
      <w:pPr>
        <w:pStyle w:val="BodyText"/>
        <w:rPr>
          <w:sz w:val="24"/>
          <w:szCs w:val="24"/>
          <w:u w:val="single"/>
        </w:rPr>
      </w:pPr>
      <w:r>
        <w:rPr>
          <w:sz w:val="24"/>
          <w:szCs w:val="24"/>
        </w:rPr>
        <w:t>By:</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A575E53" w14:textId="74CA590F" w:rsidR="008852DF" w:rsidRDefault="008852DF">
      <w:pPr>
        <w:pStyle w:val="BodyText"/>
        <w:rPr>
          <w:sz w:val="24"/>
          <w:szCs w:val="24"/>
          <w:u w:val="single"/>
        </w:rPr>
      </w:pPr>
    </w:p>
    <w:p w14:paraId="11C79C86" w14:textId="195280CD" w:rsidR="008852DF" w:rsidRDefault="008852DF">
      <w:pPr>
        <w:pStyle w:val="BodyText"/>
        <w:rPr>
          <w:sz w:val="24"/>
          <w:szCs w:val="24"/>
        </w:rPr>
      </w:pPr>
      <w:r>
        <w:rPr>
          <w:sz w:val="24"/>
          <w:szCs w:val="24"/>
        </w:rPr>
        <w:t xml:space="preserve">Name:  </w:t>
      </w:r>
      <w:r w:rsidR="00F6177A">
        <w:rPr>
          <w:sz w:val="24"/>
          <w:szCs w:val="24"/>
        </w:rPr>
        <w:t>Anil Darbari</w:t>
      </w:r>
      <w:r>
        <w:rPr>
          <w:sz w:val="24"/>
          <w:szCs w:val="24"/>
        </w:rPr>
        <w:t>, M.D.</w:t>
      </w:r>
    </w:p>
    <w:p w14:paraId="32B0A789" w14:textId="3E17FD06" w:rsidR="008852DF" w:rsidRDefault="008852DF">
      <w:pPr>
        <w:pStyle w:val="BodyText"/>
        <w:rPr>
          <w:sz w:val="24"/>
          <w:szCs w:val="24"/>
        </w:rPr>
      </w:pPr>
    </w:p>
    <w:p w14:paraId="3952A93F" w14:textId="5A7B0406" w:rsidR="008852DF" w:rsidRPr="008852DF" w:rsidRDefault="008852DF">
      <w:pPr>
        <w:pStyle w:val="BodyText"/>
        <w:rPr>
          <w:sz w:val="24"/>
          <w:szCs w:val="24"/>
          <w:u w:val="single"/>
        </w:rPr>
      </w:pPr>
      <w:r>
        <w:rPr>
          <w:sz w:val="24"/>
          <w:szCs w:val="24"/>
        </w:rPr>
        <w:t xml:space="preserve">Date: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BEBB2A3" w14:textId="77777777" w:rsidR="00002621" w:rsidRPr="001209C5" w:rsidRDefault="00002621">
      <w:pPr>
        <w:pStyle w:val="BodyText"/>
        <w:rPr>
          <w:sz w:val="24"/>
          <w:szCs w:val="24"/>
        </w:rPr>
      </w:pPr>
    </w:p>
    <w:p w14:paraId="1C311E3D" w14:textId="77777777" w:rsidR="00002621" w:rsidRPr="001209C5" w:rsidRDefault="00002621">
      <w:pPr>
        <w:pStyle w:val="BodyText"/>
        <w:rPr>
          <w:sz w:val="24"/>
          <w:szCs w:val="24"/>
        </w:rPr>
      </w:pPr>
    </w:p>
    <w:p w14:paraId="2361C9ED" w14:textId="77777777" w:rsidR="00002621" w:rsidRPr="001209C5" w:rsidRDefault="00002621">
      <w:pPr>
        <w:pStyle w:val="BodyText"/>
        <w:rPr>
          <w:sz w:val="24"/>
          <w:szCs w:val="24"/>
        </w:rPr>
      </w:pPr>
    </w:p>
    <w:p w14:paraId="798C52AD" w14:textId="77777777" w:rsidR="00002621" w:rsidRPr="001209C5" w:rsidRDefault="00002621">
      <w:pPr>
        <w:pStyle w:val="BodyText"/>
        <w:rPr>
          <w:sz w:val="24"/>
          <w:szCs w:val="24"/>
        </w:rPr>
      </w:pPr>
    </w:p>
    <w:p w14:paraId="174C9EED" w14:textId="77777777" w:rsidR="00002621" w:rsidRPr="001209C5" w:rsidRDefault="00002621">
      <w:pPr>
        <w:pStyle w:val="BodyText"/>
        <w:rPr>
          <w:sz w:val="24"/>
          <w:szCs w:val="24"/>
        </w:rPr>
      </w:pPr>
    </w:p>
    <w:p w14:paraId="7179A91C" w14:textId="77777777" w:rsidR="00002621" w:rsidRPr="001209C5" w:rsidRDefault="00002621">
      <w:pPr>
        <w:pStyle w:val="BodyText"/>
        <w:rPr>
          <w:sz w:val="24"/>
          <w:szCs w:val="24"/>
        </w:rPr>
      </w:pPr>
    </w:p>
    <w:p w14:paraId="63598E28" w14:textId="77777777" w:rsidR="00002621" w:rsidRPr="001209C5" w:rsidRDefault="00002621">
      <w:pPr>
        <w:pStyle w:val="BodyText"/>
        <w:rPr>
          <w:sz w:val="24"/>
          <w:szCs w:val="24"/>
        </w:rPr>
      </w:pPr>
    </w:p>
    <w:p w14:paraId="7DAF7F73" w14:textId="77777777" w:rsidR="00002621" w:rsidRPr="001209C5" w:rsidRDefault="00002621">
      <w:pPr>
        <w:pStyle w:val="BodyText"/>
        <w:rPr>
          <w:sz w:val="24"/>
          <w:szCs w:val="24"/>
        </w:rPr>
      </w:pPr>
    </w:p>
    <w:p w14:paraId="50B966B2" w14:textId="77777777" w:rsidR="00002621" w:rsidRPr="001209C5" w:rsidRDefault="00002621">
      <w:pPr>
        <w:pStyle w:val="BodyText"/>
        <w:spacing w:before="9"/>
        <w:rPr>
          <w:sz w:val="24"/>
          <w:szCs w:val="24"/>
        </w:rPr>
      </w:pPr>
    </w:p>
    <w:p w14:paraId="73A5A7AF" w14:textId="77777777" w:rsidR="00002621" w:rsidRPr="001209C5" w:rsidRDefault="00937E6E">
      <w:pPr>
        <w:spacing w:before="95"/>
        <w:ind w:right="114"/>
        <w:jc w:val="center"/>
        <w:rPr>
          <w:sz w:val="24"/>
          <w:szCs w:val="24"/>
        </w:rPr>
      </w:pPr>
      <w:r w:rsidRPr="001209C5">
        <w:rPr>
          <w:color w:val="606062"/>
          <w:w w:val="120"/>
          <w:sz w:val="24"/>
          <w:szCs w:val="24"/>
        </w:rPr>
        <w:t>2</w:t>
      </w:r>
    </w:p>
    <w:sectPr w:rsidR="00002621" w:rsidRPr="001209C5">
      <w:type w:val="continuous"/>
      <w:pgSz w:w="12220" w:h="15840"/>
      <w:pgMar w:top="1020" w:right="118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5BD"/>
    <w:multiLevelType w:val="hybridMultilevel"/>
    <w:tmpl w:val="96C6BEF8"/>
    <w:lvl w:ilvl="0" w:tplc="23E8ED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1B6BB9"/>
    <w:multiLevelType w:val="hybridMultilevel"/>
    <w:tmpl w:val="BDF03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F530B5"/>
    <w:multiLevelType w:val="hybridMultilevel"/>
    <w:tmpl w:val="9B3E2C2E"/>
    <w:lvl w:ilvl="0" w:tplc="6256FA18">
      <w:start w:val="1"/>
      <w:numFmt w:val="decimal"/>
      <w:lvlText w:val="%1."/>
      <w:lvlJc w:val="left"/>
      <w:pPr>
        <w:ind w:left="672" w:hanging="270"/>
      </w:pPr>
      <w:rPr>
        <w:rFonts w:ascii="Times New Roman" w:eastAsia="Times New Roman" w:hAnsi="Times New Roman" w:cs="Times New Roman" w:hint="default"/>
        <w:w w:val="107"/>
        <w:sz w:val="20"/>
        <w:szCs w:val="20"/>
      </w:rPr>
    </w:lvl>
    <w:lvl w:ilvl="1" w:tplc="2CCA9BF8">
      <w:numFmt w:val="bullet"/>
      <w:lvlText w:val="•"/>
      <w:lvlJc w:val="left"/>
      <w:pPr>
        <w:ind w:left="1563" w:hanging="270"/>
      </w:pPr>
      <w:rPr>
        <w:rFonts w:hint="default"/>
      </w:rPr>
    </w:lvl>
    <w:lvl w:ilvl="2" w:tplc="DE02951E">
      <w:numFmt w:val="bullet"/>
      <w:lvlText w:val="•"/>
      <w:lvlJc w:val="left"/>
      <w:pPr>
        <w:ind w:left="2463" w:hanging="270"/>
      </w:pPr>
      <w:rPr>
        <w:rFonts w:hint="default"/>
      </w:rPr>
    </w:lvl>
    <w:lvl w:ilvl="3" w:tplc="1A1C2B94">
      <w:numFmt w:val="bullet"/>
      <w:lvlText w:val="•"/>
      <w:lvlJc w:val="left"/>
      <w:pPr>
        <w:ind w:left="3363" w:hanging="270"/>
      </w:pPr>
      <w:rPr>
        <w:rFonts w:hint="default"/>
      </w:rPr>
    </w:lvl>
    <w:lvl w:ilvl="4" w:tplc="53EE2C76">
      <w:numFmt w:val="bullet"/>
      <w:lvlText w:val="•"/>
      <w:lvlJc w:val="left"/>
      <w:pPr>
        <w:ind w:left="4263" w:hanging="270"/>
      </w:pPr>
      <w:rPr>
        <w:rFonts w:hint="default"/>
      </w:rPr>
    </w:lvl>
    <w:lvl w:ilvl="5" w:tplc="35C40C58">
      <w:numFmt w:val="bullet"/>
      <w:lvlText w:val="•"/>
      <w:lvlJc w:val="left"/>
      <w:pPr>
        <w:ind w:left="5163" w:hanging="270"/>
      </w:pPr>
      <w:rPr>
        <w:rFonts w:hint="default"/>
      </w:rPr>
    </w:lvl>
    <w:lvl w:ilvl="6" w:tplc="E4205CE8">
      <w:numFmt w:val="bullet"/>
      <w:lvlText w:val="•"/>
      <w:lvlJc w:val="left"/>
      <w:pPr>
        <w:ind w:left="6063" w:hanging="270"/>
      </w:pPr>
      <w:rPr>
        <w:rFonts w:hint="default"/>
      </w:rPr>
    </w:lvl>
    <w:lvl w:ilvl="7" w:tplc="9CB8B792">
      <w:numFmt w:val="bullet"/>
      <w:lvlText w:val="•"/>
      <w:lvlJc w:val="left"/>
      <w:pPr>
        <w:ind w:left="6963" w:hanging="270"/>
      </w:pPr>
      <w:rPr>
        <w:rFonts w:hint="default"/>
      </w:rPr>
    </w:lvl>
    <w:lvl w:ilvl="8" w:tplc="F724B086">
      <w:numFmt w:val="bullet"/>
      <w:lvlText w:val="•"/>
      <w:lvlJc w:val="left"/>
      <w:pPr>
        <w:ind w:left="7863" w:hanging="270"/>
      </w:pPr>
      <w:rPr>
        <w:rFonts w:hint="default"/>
      </w:rPr>
    </w:lvl>
  </w:abstractNum>
  <w:abstractNum w:abstractNumId="3" w15:restartNumberingAfterBreak="0">
    <w:nsid w:val="79174C05"/>
    <w:multiLevelType w:val="hybridMultilevel"/>
    <w:tmpl w:val="BD26F2FC"/>
    <w:lvl w:ilvl="0" w:tplc="B5228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417186">
    <w:abstractNumId w:val="2"/>
  </w:num>
  <w:num w:numId="2" w16cid:durableId="155658392">
    <w:abstractNumId w:val="1"/>
  </w:num>
  <w:num w:numId="3" w16cid:durableId="1639456536">
    <w:abstractNumId w:val="0"/>
  </w:num>
  <w:num w:numId="4" w16cid:durableId="10975533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621"/>
    <w:rsid w:val="00002621"/>
    <w:rsid w:val="00064BD5"/>
    <w:rsid w:val="000F4E0C"/>
    <w:rsid w:val="001209C5"/>
    <w:rsid w:val="0012232E"/>
    <w:rsid w:val="00137CFA"/>
    <w:rsid w:val="00154CA8"/>
    <w:rsid w:val="001A415A"/>
    <w:rsid w:val="001A5994"/>
    <w:rsid w:val="001D264D"/>
    <w:rsid w:val="00287B15"/>
    <w:rsid w:val="00485C11"/>
    <w:rsid w:val="004D24DA"/>
    <w:rsid w:val="005B1045"/>
    <w:rsid w:val="006C594C"/>
    <w:rsid w:val="00706FD8"/>
    <w:rsid w:val="007A161B"/>
    <w:rsid w:val="007C0780"/>
    <w:rsid w:val="008852DF"/>
    <w:rsid w:val="00886F72"/>
    <w:rsid w:val="008C2AA0"/>
    <w:rsid w:val="00921E10"/>
    <w:rsid w:val="00937E6E"/>
    <w:rsid w:val="00A545D2"/>
    <w:rsid w:val="00C42780"/>
    <w:rsid w:val="00DD0982"/>
    <w:rsid w:val="00F6177A"/>
    <w:rsid w:val="00FB2DC9"/>
    <w:rsid w:val="00FB50C1"/>
    <w:rsid w:val="00FD7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6A569"/>
  <w15:docId w15:val="{94AF1D60-A7DA-421D-8790-9F4B0D5B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46"/>
      <w:ind w:left="649" w:hanging="265"/>
    </w:pPr>
  </w:style>
  <w:style w:type="paragraph" w:customStyle="1" w:styleId="TableParagraph">
    <w:name w:val="Table Paragraph"/>
    <w:basedOn w:val="Normal"/>
    <w:uiPriority w:val="1"/>
    <w:qFormat/>
  </w:style>
  <w:style w:type="paragraph" w:styleId="Title">
    <w:name w:val="Title"/>
    <w:basedOn w:val="Normal"/>
    <w:link w:val="TitleChar"/>
    <w:qFormat/>
    <w:rsid w:val="00FD7422"/>
    <w:pPr>
      <w:widowControl/>
      <w:autoSpaceDE/>
      <w:autoSpaceDN/>
      <w:jc w:val="center"/>
    </w:pPr>
    <w:rPr>
      <w:rFonts w:eastAsia="MS Mincho"/>
      <w:b/>
      <w:sz w:val="24"/>
      <w:szCs w:val="20"/>
      <w:u w:val="single"/>
    </w:rPr>
  </w:style>
  <w:style w:type="character" w:customStyle="1" w:styleId="TitleChar">
    <w:name w:val="Title Char"/>
    <w:basedOn w:val="DefaultParagraphFont"/>
    <w:link w:val="Title"/>
    <w:rsid w:val="00FD7422"/>
    <w:rPr>
      <w:rFonts w:ascii="Times New Roman" w:eastAsia="MS Mincho" w:hAnsi="Times New Roman" w:cs="Times New Roman"/>
      <w:b/>
      <w:sz w:val="24"/>
      <w:szCs w:val="20"/>
      <w:u w:val="single"/>
    </w:rPr>
  </w:style>
  <w:style w:type="paragraph" w:styleId="Revision">
    <w:name w:val="Revision"/>
    <w:hidden/>
    <w:uiPriority w:val="99"/>
    <w:semiHidden/>
    <w:rsid w:val="00485C11"/>
    <w:pPr>
      <w:widowControl/>
      <w:autoSpaceDE/>
      <w:autoSpaceDN/>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1A415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31681">
      <w:bodyDiv w:val="1"/>
      <w:marLeft w:val="0"/>
      <w:marRight w:val="0"/>
      <w:marTop w:val="0"/>
      <w:marBottom w:val="0"/>
      <w:divBdr>
        <w:top w:val="none" w:sz="0" w:space="0" w:color="auto"/>
        <w:left w:val="none" w:sz="0" w:space="0" w:color="auto"/>
        <w:bottom w:val="none" w:sz="0" w:space="0" w:color="auto"/>
        <w:right w:val="none" w:sz="0" w:space="0" w:color="auto"/>
      </w:divBdr>
    </w:div>
    <w:div w:id="1239250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Coffin</dc:creator>
  <cp:lastModifiedBy>Jennifer Coffin</cp:lastModifiedBy>
  <cp:revision>10</cp:revision>
  <dcterms:created xsi:type="dcterms:W3CDTF">2022-06-28T15:23:00Z</dcterms:created>
  <dcterms:modified xsi:type="dcterms:W3CDTF">2022-08-04T18:14:00Z</dcterms:modified>
</cp:coreProperties>
</file>