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4151" w:rsidRPr="00064151" w:rsidTr="002E6B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64151" w:rsidRPr="00064151" w:rsidRDefault="00064151" w:rsidP="000641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064151" w:rsidRPr="00064151" w:rsidTr="002E6B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64151" w:rsidRPr="00064151" w:rsidRDefault="00064151" w:rsidP="00064151">
            <w:pPr>
              <w:spacing w:after="0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4151" w:rsidRPr="00064151" w:rsidTr="002E6B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64151" w:rsidRPr="00064151" w:rsidRDefault="00064151" w:rsidP="00064151">
            <w:pPr>
              <w:spacing w:after="0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64151" w:rsidRPr="00064151" w:rsidTr="002E6B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64151" w:rsidRPr="00064151" w:rsidRDefault="00064151" w:rsidP="00064151">
            <w:pPr>
              <w:spacing w:after="0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B6A8C" w:rsidRDefault="00DB6A8C"/>
    <w:p w:rsidR="0000518B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The position of Post Awa</w:t>
      </w:r>
      <w:r w:rsidR="002E6B49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rd 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Financial Manager holds responsibility for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overall financial management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00518B"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for the Office 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>of Sponsored Programs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, including expense and deficit monitoring, financial reporting, cash management, revenue reconci</w:t>
      </w:r>
      <w:r w:rsidR="002E6B49">
        <w:rPr>
          <w:rFonts w:ascii="Helvetica" w:eastAsia="Times New Roman" w:hAnsi="Helvetica" w:cs="Times New Roman"/>
          <w:color w:val="333333"/>
          <w:sz w:val="21"/>
          <w:szCs w:val="21"/>
        </w:rPr>
        <w:t>liation, balance sheet activity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expense monitoring,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and closeout of sponsored projects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This person will be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 key member of the research 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support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team and 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>will serve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as a resource to faculty and administrators in the administration of sponsored research. This position is responsible for ensuring that business processes and practices are effectively and efficiently deployed to prov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>ide the highest level of support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to the research community. </w:t>
      </w:r>
    </w:p>
    <w:p w:rsidR="0000518B" w:rsidRDefault="0000518B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B6A8C" w:rsidRPr="00DB6A8C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Responsibilities:</w:t>
      </w: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</w:r>
    </w:p>
    <w:p w:rsidR="00DB6A8C" w:rsidRPr="00DB6A8C" w:rsidRDefault="00DB6A8C" w:rsidP="00DB6A8C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Financial: </w:t>
      </w:r>
      <w:r w:rsidR="00C411C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85%</w:t>
      </w:r>
    </w:p>
    <w:p w:rsidR="00DB6A8C" w:rsidRPr="00DB6A8C" w:rsidRDefault="00DB6A8C" w:rsidP="00D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Oversee the reconciliation of sponsored research accounts revenue, expenses and balance sheet activity, track outstanding invoices, monitor collection activity, </w:t>
      </w:r>
      <w:proofErr w:type="spellStart"/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subrecipient</w:t>
      </w:r>
      <w:proofErr w:type="spellEnd"/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financial monitoring, time and effort compliance certifications and provide g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>eneral accounting support t</w:t>
      </w:r>
      <w:r w:rsidR="0000518B">
        <w:rPr>
          <w:rFonts w:ascii="Helvetica" w:eastAsia="Times New Roman" w:hAnsi="Helvetica" w:cs="Times New Roman"/>
          <w:color w:val="333333"/>
          <w:sz w:val="21"/>
          <w:szCs w:val="21"/>
        </w:rPr>
        <w:t>o faculty and OSP staff.</w:t>
      </w:r>
    </w:p>
    <w:p w:rsidR="00DB6A8C" w:rsidRPr="00DB6A8C" w:rsidRDefault="00DB6A8C" w:rsidP="00D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Manage cash flow and proper financial reporting of research project expenditures and revenue, refer accounts receivables for write offs or collections and authorize refunds to sponsoring agencies as needed.</w:t>
      </w:r>
    </w:p>
    <w:p w:rsidR="00DB6A8C" w:rsidRPr="00DB6A8C" w:rsidRDefault="00DB6A8C" w:rsidP="00D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Work with the Di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>rector to strategically align OU’s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expenses for maximum reimbu</w:t>
      </w:r>
      <w:r w:rsidR="00570815">
        <w:rPr>
          <w:rFonts w:ascii="Helvetica" w:eastAsia="Times New Roman" w:hAnsi="Helvetica" w:cs="Times New Roman"/>
          <w:color w:val="333333"/>
          <w:sz w:val="21"/>
          <w:szCs w:val="21"/>
        </w:rPr>
        <w:t>rsement of the F&amp;A rate.  Participate in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the p</w:t>
      </w:r>
      <w:r w:rsidR="0057081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reparation of the data collection process for OU’s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indirect cost rate proposal.</w:t>
      </w:r>
    </w:p>
    <w:p w:rsidR="00DB6A8C" w:rsidRPr="00DB6A8C" w:rsidRDefault="00DB6A8C" w:rsidP="00D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Coordinating and preparing response to all audit requests; follow-up and implement, if necessary, any audit recommendations</w:t>
      </w:r>
    </w:p>
    <w:p w:rsidR="00DB6A8C" w:rsidRDefault="0000518B" w:rsidP="00D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Enhance OSP</w:t>
      </w:r>
      <w:r w:rsidR="00DB6A8C" w:rsidRPr="00DB6A8C">
        <w:rPr>
          <w:rFonts w:ascii="Helvetica" w:eastAsia="Times New Roman" w:hAnsi="Helvetica" w:cs="Times New Roman"/>
          <w:color w:val="333333"/>
          <w:sz w:val="21"/>
          <w:szCs w:val="21"/>
        </w:rPr>
        <w:t>’s fiscal reporting and analysis tools for frequent ad hoc analyses of sponsored research activity, rate-setting, and other complex modeling</w:t>
      </w:r>
    </w:p>
    <w:p w:rsidR="0000518B" w:rsidRPr="00DB6A8C" w:rsidRDefault="0000518B" w:rsidP="0000518B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Policy Development, Operations and Outreach:</w:t>
      </w:r>
      <w:r w:rsidR="00C411C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15%</w:t>
      </w:r>
      <w:bookmarkStart w:id="0" w:name="_GoBack"/>
      <w:bookmarkEnd w:id="0"/>
    </w:p>
    <w:p w:rsidR="0000518B" w:rsidRPr="00DB6A8C" w:rsidRDefault="0000518B" w:rsidP="0000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Provide expertise and consultation related to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regulatory and policy issues around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fiscal manage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ment of research projects to OSP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st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aff, Assistant Deans,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and faculty.</w:t>
      </w:r>
    </w:p>
    <w:p w:rsidR="0000518B" w:rsidRPr="00DB6A8C" w:rsidRDefault="0000518B" w:rsidP="0000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Remain knowledgeable about current federal regulations, pending changes, OMB Circulars, Federal Acquisition Regulations and Cost Accounting Standards.</w:t>
      </w:r>
    </w:p>
    <w:p w:rsidR="0000518B" w:rsidRPr="00DB6A8C" w:rsidRDefault="0000518B" w:rsidP="0000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Work with the Directo</w:t>
      </w:r>
      <w:r w:rsidR="001218BE">
        <w:rPr>
          <w:rFonts w:ascii="Helvetica" w:eastAsia="Times New Roman" w:hAnsi="Helvetica" w:cs="Times New Roman"/>
          <w:color w:val="333333"/>
          <w:sz w:val="21"/>
          <w:szCs w:val="21"/>
        </w:rPr>
        <w:t>r and the Vice President for Research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to d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evelop policy and processes that comply with gene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ral accounting standards, University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policy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, and sponsor regulations.</w:t>
      </w:r>
    </w:p>
    <w:p w:rsidR="0000518B" w:rsidRPr="00DB6A8C" w:rsidRDefault="0000518B" w:rsidP="0000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Assist in the maintenance of OSP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’s Research Management software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(Cayuse) and </w:t>
      </w:r>
      <w:r w:rsidR="002E6B49">
        <w:rPr>
          <w:rFonts w:ascii="Helvetica" w:eastAsia="Times New Roman" w:hAnsi="Helvetica" w:cs="Times New Roman"/>
          <w:color w:val="333333"/>
          <w:sz w:val="21"/>
          <w:szCs w:val="21"/>
        </w:rPr>
        <w:t>work with internal and external partners to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intentionally and thoughtfully add post-award modules to improve services to the campus.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Ensure there are adequate training materials and coordinate with other campus offices and faculty on process changes. Ensure quality control over fina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ncial data entered in the University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’s financial system.</w:t>
      </w:r>
    </w:p>
    <w:p w:rsidR="0000518B" w:rsidRPr="00DB6A8C" w:rsidRDefault="0000518B" w:rsidP="00005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Develops Post Award trai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ning material for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campus. Training will be targeted to the audience and include one on one trainings, larger training sessions and web material.</w:t>
      </w:r>
    </w:p>
    <w:p w:rsidR="0000518B" w:rsidRPr="00DB6A8C" w:rsidRDefault="0000518B" w:rsidP="000051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B6A8C" w:rsidRPr="00DB6A8C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Minimum Qualifications:</w:t>
      </w:r>
    </w:p>
    <w:p w:rsidR="00DB6A8C" w:rsidRPr="00DB6A8C" w:rsidRDefault="002E6B49" w:rsidP="00DB6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Three years e</w:t>
      </w:r>
      <w:r w:rsidR="00DB6A8C" w:rsidRPr="00DB6A8C">
        <w:rPr>
          <w:rFonts w:ascii="Helvetica" w:eastAsia="Times New Roman" w:hAnsi="Helvetica" w:cs="Times New Roman"/>
          <w:color w:val="333333"/>
          <w:sz w:val="21"/>
          <w:szCs w:val="21"/>
        </w:rPr>
        <w:t>xperience with financially managing sponsored projects or experience managing financials in higher education.</w:t>
      </w:r>
    </w:p>
    <w:p w:rsidR="00DB6A8C" w:rsidRPr="00DB6A8C" w:rsidRDefault="00583144" w:rsidP="00DB6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Bachelor’s degree</w:t>
      </w:r>
      <w:r w:rsidR="006D137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or equivalent experience.</w:t>
      </w:r>
    </w:p>
    <w:p w:rsidR="00DB6A8C" w:rsidRPr="00DB6A8C" w:rsidRDefault="00DB6A8C" w:rsidP="00DB6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Excellent communication skills (oral and written).</w:t>
      </w:r>
    </w:p>
    <w:p w:rsidR="00DB6A8C" w:rsidRPr="00DB6A8C" w:rsidRDefault="00583144" w:rsidP="00DB6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Problem solving and analysis</w:t>
      </w:r>
      <w:r w:rsidR="00DB6A8C"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skills. Ability to critically analyze information in order to make independent decisions.</w:t>
      </w:r>
    </w:p>
    <w:p w:rsidR="00DB6A8C" w:rsidRPr="00DB6A8C" w:rsidRDefault="00583144" w:rsidP="00583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Demonstrated faculty support</w:t>
      </w:r>
      <w:r w:rsidR="00DB6A8C"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skills, the ability to work effectively with a wide range of constituencies in a diverse community and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 </w:t>
      </w:r>
      <w:r w:rsidR="00DB6A8C" w:rsidRPr="00DB6A8C">
        <w:rPr>
          <w:rFonts w:ascii="Helvetica" w:eastAsia="Times New Roman" w:hAnsi="Helvetica" w:cs="Times New Roman"/>
          <w:color w:val="333333"/>
          <w:sz w:val="21"/>
          <w:szCs w:val="21"/>
        </w:rPr>
        <w:t>ability to meet multiple deadlines.</w:t>
      </w:r>
    </w:p>
    <w:p w:rsidR="00DB6A8C" w:rsidRPr="00DB6A8C" w:rsidRDefault="00DB6A8C" w:rsidP="00DB6A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Experience with enterprise financial systems.</w:t>
      </w:r>
    </w:p>
    <w:p w:rsidR="00DB6A8C" w:rsidRPr="00DB6A8C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Preferred Qualifications:</w:t>
      </w:r>
    </w:p>
    <w:p w:rsidR="00DB6A8C" w:rsidRPr="00DB6A8C" w:rsidRDefault="00583144" w:rsidP="00DB6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Master’s degree, any field</w:t>
      </w:r>
    </w:p>
    <w:p w:rsidR="00DB6A8C" w:rsidRPr="00DB6A8C" w:rsidRDefault="00DB6A8C" w:rsidP="00DB6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Working knowledge of public higher education systems.</w:t>
      </w:r>
    </w:p>
    <w:p w:rsidR="00DB6A8C" w:rsidRPr="00DB6A8C" w:rsidRDefault="00DB6A8C" w:rsidP="00DB6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Significant and progressive experience in sponsored project financial administration; working knowledge of OMB Circulars and other pertinent external regulations.</w:t>
      </w:r>
    </w:p>
    <w:p w:rsidR="00DB6A8C" w:rsidRPr="00DB6A8C" w:rsidRDefault="00DB6A8C" w:rsidP="00DB6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Experi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ence with Banner or 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other similar enterprise financial system.</w:t>
      </w:r>
    </w:p>
    <w:p w:rsidR="00583144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How to Apply</w:t>
      </w:r>
      <w:proofErr w:type="gramStart"/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  <w:proofErr w:type="gramEnd"/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  <w:t>Applicants will be asked to complete an online application (personal information, demographic information, references, vetera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>ns status) and upload a resume and cover letter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Compensation</w:t>
      </w:r>
      <w:proofErr w:type="gramStart"/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  <w:proofErr w:type="gramEnd"/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  <w:t>Starting salary will be determined by the qualifications of the selected applicant balanced with departmental budget availability, internal salary equity considerations, and available market informatio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>n. Oakland University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provides an attractive b</w:t>
      </w:r>
      <w:r w:rsidR="00583144">
        <w:rPr>
          <w:rFonts w:ascii="Helvetica" w:eastAsia="Times New Roman" w:hAnsi="Helvetica" w:cs="Times New Roman"/>
          <w:color w:val="333333"/>
          <w:sz w:val="21"/>
          <w:szCs w:val="21"/>
        </w:rPr>
        <w:t>enefits package</w:t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</w:t>
      </w:r>
    </w:p>
    <w:p w:rsidR="00DB6A8C" w:rsidRPr="00DB6A8C" w:rsidRDefault="00DB6A8C" w:rsidP="00DB6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Background Investigation Required</w:t>
      </w:r>
      <w:proofErr w:type="gramStart"/>
      <w:r w:rsidRPr="00DB6A8C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  <w:proofErr w:type="gramEnd"/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DB6A8C">
        <w:rPr>
          <w:rFonts w:ascii="Helvetica" w:eastAsia="Times New Roman" w:hAnsi="Helvetica" w:cs="Times New Roman"/>
          <w:color w:val="333333"/>
          <w:sz w:val="21"/>
          <w:szCs w:val="21"/>
        </w:rPr>
        <w:br/>
        <w:t>Yes</w:t>
      </w:r>
    </w:p>
    <w:p w:rsidR="00DB6A8C" w:rsidRDefault="00DB6A8C"/>
    <w:sectPr w:rsidR="00DB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DB4"/>
    <w:multiLevelType w:val="multilevel"/>
    <w:tmpl w:val="BD2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D3EE1"/>
    <w:multiLevelType w:val="multilevel"/>
    <w:tmpl w:val="1F2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B009E"/>
    <w:multiLevelType w:val="multilevel"/>
    <w:tmpl w:val="DA2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E285E"/>
    <w:multiLevelType w:val="multilevel"/>
    <w:tmpl w:val="D2D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06A88"/>
    <w:multiLevelType w:val="multilevel"/>
    <w:tmpl w:val="47B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1"/>
    <w:rsid w:val="0000518B"/>
    <w:rsid w:val="00050AA9"/>
    <w:rsid w:val="00064151"/>
    <w:rsid w:val="001218BE"/>
    <w:rsid w:val="002E6B49"/>
    <w:rsid w:val="003530EC"/>
    <w:rsid w:val="00471665"/>
    <w:rsid w:val="00570815"/>
    <w:rsid w:val="00583144"/>
    <w:rsid w:val="006D137B"/>
    <w:rsid w:val="00C411CE"/>
    <w:rsid w:val="00DB6A8C"/>
    <w:rsid w:val="00EB3D58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2761"/>
  <w15:chartTrackingRefBased/>
  <w15:docId w15:val="{D210EF4F-A836-49F2-B442-E437F10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41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B6A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Buford</dc:creator>
  <cp:keywords/>
  <dc:description/>
  <cp:lastModifiedBy>Andrea Buford</cp:lastModifiedBy>
  <cp:revision>3</cp:revision>
  <dcterms:created xsi:type="dcterms:W3CDTF">2020-08-06T14:42:00Z</dcterms:created>
  <dcterms:modified xsi:type="dcterms:W3CDTF">2020-08-06T14:43:00Z</dcterms:modified>
</cp:coreProperties>
</file>