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4826" w14:paraId="43683FA2" w14:textId="77777777" w:rsidTr="001F4826">
        <w:trPr>
          <w:tblCellSpacing w:w="0" w:type="dxa"/>
          <w:jc w:val="center"/>
        </w:trPr>
        <w:tc>
          <w:tcPr>
            <w:tcW w:w="0" w:type="auto"/>
            <w:shd w:val="clear" w:color="auto" w:fill="FFFFFF"/>
            <w:tcMar>
              <w:top w:w="600" w:type="dxa"/>
              <w:left w:w="600" w:type="dxa"/>
              <w:bottom w:w="600" w:type="dxa"/>
              <w:right w:w="600" w:type="dxa"/>
            </w:tcMar>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3908"/>
              <w:gridCol w:w="3892"/>
            </w:tblGrid>
            <w:tr w:rsidR="001F4826" w14:paraId="5B84F03F" w14:textId="77777777">
              <w:trPr>
                <w:tblCellSpacing w:w="0" w:type="dxa"/>
                <w:jc w:val="center"/>
              </w:trPr>
              <w:tc>
                <w:tcPr>
                  <w:tcW w:w="0" w:type="auto"/>
                  <w:gridSpan w:val="2"/>
                  <w:tcMar>
                    <w:top w:w="0" w:type="dxa"/>
                    <w:left w:w="0" w:type="dxa"/>
                    <w:bottom w:w="300" w:type="dxa"/>
                    <w:right w:w="0" w:type="dxa"/>
                  </w:tcMar>
                  <w:vAlign w:val="center"/>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1F4826" w14:paraId="2182D7BC" w14:textId="77777777">
                    <w:trPr>
                      <w:tblCellSpacing w:w="0" w:type="dxa"/>
                      <w:jc w:val="center"/>
                    </w:trPr>
                    <w:tc>
                      <w:tcPr>
                        <w:tcW w:w="0" w:type="auto"/>
                        <w:vAlign w:val="center"/>
                        <w:hideMark/>
                      </w:tcPr>
                      <w:p w14:paraId="6587B049" w14:textId="77777777" w:rsidR="001F4826" w:rsidRDefault="001F4826">
                        <w:pPr>
                          <w:spacing w:line="525" w:lineRule="atLeast"/>
                          <w:jc w:val="center"/>
                          <w:rPr>
                            <w:rFonts w:ascii="Arial" w:hAnsi="Arial" w:cs="Arial"/>
                            <w:b/>
                            <w:bCs/>
                            <w:color w:val="00558C"/>
                            <w:sz w:val="53"/>
                            <w:szCs w:val="53"/>
                          </w:rPr>
                        </w:pPr>
                        <w:bookmarkStart w:id="0" w:name="_GoBack"/>
                        <w:bookmarkEnd w:id="0"/>
                        <w:r>
                          <w:rPr>
                            <w:rFonts w:ascii="Arial" w:hAnsi="Arial" w:cs="Arial"/>
                            <w:b/>
                            <w:bCs/>
                            <w:color w:val="00558C"/>
                            <w:sz w:val="53"/>
                            <w:szCs w:val="53"/>
                          </w:rPr>
                          <w:t>UG Compensation</w:t>
                        </w:r>
                        <w:r>
                          <w:rPr>
                            <w:rFonts w:ascii="Arial" w:hAnsi="Arial" w:cs="Arial"/>
                            <w:b/>
                            <w:bCs/>
                            <w:color w:val="00558C"/>
                            <w:sz w:val="53"/>
                            <w:szCs w:val="53"/>
                          </w:rPr>
                          <w:br/>
                          <w:t>Compliance Workshop</w:t>
                        </w:r>
                      </w:p>
                    </w:tc>
                  </w:tr>
                </w:tbl>
                <w:p w14:paraId="339AFA66" w14:textId="77777777" w:rsidR="001F4826" w:rsidRDefault="001F4826">
                  <w:pPr>
                    <w:jc w:val="center"/>
                    <w:rPr>
                      <w:rFonts w:ascii="Times New Roman" w:eastAsia="Times New Roman" w:hAnsi="Times New Roman" w:cs="Times New Roman"/>
                      <w:sz w:val="20"/>
                      <w:szCs w:val="20"/>
                    </w:rPr>
                  </w:pPr>
                </w:p>
              </w:tc>
            </w:tr>
            <w:tr w:rsidR="001F4826" w14:paraId="0ABB7909" w14:textId="77777777">
              <w:trPr>
                <w:tblCellSpacing w:w="0" w:type="dxa"/>
                <w:jc w:val="center"/>
              </w:trPr>
              <w:tc>
                <w:tcPr>
                  <w:tcW w:w="0" w:type="auto"/>
                  <w:gridSpan w:val="2"/>
                  <w:shd w:val="clear" w:color="auto" w:fill="F0F0F0"/>
                  <w:tcMar>
                    <w:top w:w="300" w:type="dxa"/>
                    <w:left w:w="300" w:type="dxa"/>
                    <w:bottom w:w="300" w:type="dxa"/>
                    <w:right w:w="300" w:type="dxa"/>
                  </w:tcMar>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1F4826" w14:paraId="54D34074" w14:textId="77777777">
                    <w:trPr>
                      <w:tblCellSpacing w:w="0" w:type="dxa"/>
                      <w:jc w:val="center"/>
                    </w:trPr>
                    <w:tc>
                      <w:tcPr>
                        <w:tcW w:w="0" w:type="auto"/>
                        <w:tcMar>
                          <w:top w:w="0" w:type="dxa"/>
                          <w:left w:w="0" w:type="dxa"/>
                          <w:bottom w:w="150" w:type="dxa"/>
                          <w:right w:w="0" w:type="dxa"/>
                        </w:tcMar>
                        <w:vAlign w:val="center"/>
                        <w:hideMark/>
                      </w:tcPr>
                      <w:p w14:paraId="16018EE2" w14:textId="77777777" w:rsidR="001F4826" w:rsidRDefault="001F4826">
                        <w:pPr>
                          <w:jc w:val="center"/>
                          <w:rPr>
                            <w:rFonts w:ascii="Arial" w:hAnsi="Arial" w:cs="Arial"/>
                            <w:b/>
                            <w:bCs/>
                            <w:color w:val="4D4D4D"/>
                            <w:sz w:val="27"/>
                            <w:szCs w:val="27"/>
                          </w:rPr>
                        </w:pPr>
                        <w:r>
                          <w:rPr>
                            <w:rFonts w:ascii="Arial" w:hAnsi="Arial" w:cs="Arial"/>
                            <w:b/>
                            <w:bCs/>
                            <w:color w:val="4D4D4D"/>
                            <w:sz w:val="27"/>
                            <w:szCs w:val="27"/>
                          </w:rPr>
                          <w:t>November 13-15, 2019</w:t>
                        </w:r>
                      </w:p>
                    </w:tc>
                  </w:tr>
                  <w:tr w:rsidR="001F4826" w14:paraId="429437C7" w14:textId="77777777">
                    <w:trPr>
                      <w:tblCellSpacing w:w="0" w:type="dxa"/>
                      <w:jc w:val="center"/>
                    </w:trPr>
                    <w:tc>
                      <w:tcPr>
                        <w:tcW w:w="0" w:type="auto"/>
                        <w:vAlign w:val="center"/>
                        <w:hideMark/>
                      </w:tcPr>
                      <w:p w14:paraId="475C7F80" w14:textId="77777777" w:rsidR="001F4826" w:rsidRDefault="001F4826">
                        <w:pPr>
                          <w:jc w:val="center"/>
                          <w:rPr>
                            <w:rFonts w:ascii="Arial" w:hAnsi="Arial" w:cs="Arial"/>
                            <w:color w:val="4D4D4D"/>
                          </w:rPr>
                        </w:pPr>
                        <w:r>
                          <w:rPr>
                            <w:rFonts w:ascii="Arial" w:hAnsi="Arial" w:cs="Arial"/>
                            <w:color w:val="4D4D4D"/>
                          </w:rPr>
                          <w:t>University of Pennsylvania</w:t>
                        </w:r>
                        <w:r>
                          <w:rPr>
                            <w:rFonts w:ascii="Arial" w:hAnsi="Arial" w:cs="Arial"/>
                            <w:color w:val="4D4D4D"/>
                          </w:rPr>
                          <w:br/>
                          <w:t>Sheraton University City; 3549 Chestnut Street, Philadelphia, PA 19104</w:t>
                        </w:r>
                      </w:p>
                    </w:tc>
                  </w:tr>
                </w:tbl>
                <w:p w14:paraId="4B2CA4CF" w14:textId="77777777" w:rsidR="001F4826" w:rsidRDefault="001F4826">
                  <w:pPr>
                    <w:jc w:val="center"/>
                    <w:rPr>
                      <w:rFonts w:ascii="Times New Roman" w:eastAsia="Times New Roman" w:hAnsi="Times New Roman" w:cs="Times New Roman"/>
                      <w:sz w:val="20"/>
                      <w:szCs w:val="20"/>
                    </w:rPr>
                  </w:pPr>
                </w:p>
              </w:tc>
            </w:tr>
            <w:tr w:rsidR="001F4826" w14:paraId="4ECD5B04" w14:textId="77777777">
              <w:trPr>
                <w:tblCellSpacing w:w="0" w:type="dxa"/>
                <w:jc w:val="center"/>
              </w:trPr>
              <w:tc>
                <w:tcPr>
                  <w:tcW w:w="0" w:type="auto"/>
                  <w:tcMar>
                    <w:top w:w="600" w:type="dxa"/>
                    <w:left w:w="0" w:type="dxa"/>
                    <w:bottom w:w="0" w:type="dxa"/>
                    <w:right w:w="0" w:type="dxa"/>
                  </w:tcMar>
                  <w:vAlign w:val="center"/>
                  <w:hideMark/>
                </w:tcPr>
                <w:p w14:paraId="551F0DF5" w14:textId="77777777" w:rsidR="001F4826" w:rsidRDefault="001F4826">
                  <w:pPr>
                    <w:jc w:val="center"/>
                  </w:pPr>
                  <w:r>
                    <w:rPr>
                      <w:noProof/>
                    </w:rPr>
                    <w:drawing>
                      <wp:inline distT="0" distB="0" distL="0" distR="0" wp14:anchorId="5FA664A0" wp14:editId="0D6F371A">
                        <wp:extent cx="2428875" cy="1152525"/>
                        <wp:effectExtent l="0" t="0" r="9525" b="9525"/>
                        <wp:docPr id="2" name="Picture 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8875" cy="1152525"/>
                                </a:xfrm>
                                <a:prstGeom prst="rect">
                                  <a:avLst/>
                                </a:prstGeom>
                                <a:noFill/>
                                <a:ln>
                                  <a:noFill/>
                                </a:ln>
                              </pic:spPr>
                            </pic:pic>
                          </a:graphicData>
                        </a:graphic>
                      </wp:inline>
                    </w:drawing>
                  </w:r>
                </w:p>
              </w:tc>
              <w:tc>
                <w:tcPr>
                  <w:tcW w:w="0" w:type="auto"/>
                  <w:vAlign w:val="center"/>
                  <w:hideMark/>
                </w:tcPr>
                <w:p w14:paraId="236758FB" w14:textId="77777777" w:rsidR="001F4826" w:rsidRDefault="001F4826">
                  <w:pPr>
                    <w:jc w:val="center"/>
                  </w:pPr>
                  <w:r>
                    <w:rPr>
                      <w:noProof/>
                    </w:rPr>
                    <w:drawing>
                      <wp:inline distT="0" distB="0" distL="0" distR="0" wp14:anchorId="7EA1A646" wp14:editId="1A74D6B9">
                        <wp:extent cx="2428875" cy="1152525"/>
                        <wp:effectExtent l="0" t="0" r="0" b="9525"/>
                        <wp:docPr id="1" name="Picture 1"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_tex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28875" cy="1152525"/>
                                </a:xfrm>
                                <a:prstGeom prst="rect">
                                  <a:avLst/>
                                </a:prstGeom>
                                <a:noFill/>
                                <a:ln>
                                  <a:noFill/>
                                </a:ln>
                              </pic:spPr>
                            </pic:pic>
                          </a:graphicData>
                        </a:graphic>
                      </wp:inline>
                    </w:drawing>
                  </w:r>
                </w:p>
              </w:tc>
            </w:tr>
            <w:tr w:rsidR="001F4826" w14:paraId="18FB382F" w14:textId="77777777">
              <w:trPr>
                <w:tblCellSpacing w:w="0" w:type="dxa"/>
                <w:jc w:val="center"/>
              </w:trPr>
              <w:tc>
                <w:tcPr>
                  <w:tcW w:w="0" w:type="auto"/>
                  <w:gridSpan w:val="2"/>
                  <w:tcMar>
                    <w:top w:w="450" w:type="dxa"/>
                    <w:left w:w="0" w:type="dxa"/>
                    <w:bottom w:w="0" w:type="dxa"/>
                    <w:right w:w="0" w:type="dxa"/>
                  </w:tcMar>
                  <w:vAlign w:val="center"/>
                  <w:hideMark/>
                </w:tcPr>
                <w:p w14:paraId="37298D62" w14:textId="77777777" w:rsidR="001F4826" w:rsidRDefault="001F4826">
                  <w:pPr>
                    <w:spacing w:after="240" w:line="345" w:lineRule="atLeast"/>
                    <w:rPr>
                      <w:rFonts w:ascii="Arial" w:hAnsi="Arial" w:cs="Arial"/>
                      <w:color w:val="4D4D4D"/>
                      <w:sz w:val="23"/>
                      <w:szCs w:val="23"/>
                    </w:rPr>
                  </w:pPr>
                  <w:r>
                    <w:rPr>
                      <w:rFonts w:ascii="Arial" w:hAnsi="Arial" w:cs="Arial"/>
                      <w:color w:val="4D4D4D"/>
                      <w:sz w:val="23"/>
                      <w:szCs w:val="23"/>
                    </w:rPr>
                    <w:t>The Cohort for Efficiencies in Research Administration, in partnership with Huron and the University of Pennsylvania, is pleased to invite you to the Uniform Guidance (UG) Compensation Compliance Workshop in Philadelphia, PA from November 13-15, 2019.</w:t>
                  </w:r>
                  <w:r>
                    <w:rPr>
                      <w:rFonts w:ascii="Arial" w:hAnsi="Arial" w:cs="Arial"/>
                      <w:color w:val="4D4D4D"/>
                      <w:sz w:val="23"/>
                      <w:szCs w:val="23"/>
                    </w:rPr>
                    <w:br/>
                  </w:r>
                  <w:r>
                    <w:rPr>
                      <w:rFonts w:ascii="Arial" w:hAnsi="Arial" w:cs="Arial"/>
                      <w:color w:val="4D4D4D"/>
                      <w:sz w:val="23"/>
                      <w:szCs w:val="23"/>
                    </w:rPr>
                    <w:br/>
                    <w:t>This event is designed to discuss compensation compliance with a focus on alternatives to traditional effort (ATE) reporting methodologies. The November 14-15 workshop will consist of the following confirmed speaker engagements and topics:</w:t>
                  </w:r>
                </w:p>
                <w:p w14:paraId="5021B5C7"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Arizona State University</w:t>
                  </w:r>
                  <w:r w:rsidR="005A1B96">
                    <w:rPr>
                      <w:rFonts w:ascii="Arial" w:eastAsia="Times New Roman" w:hAnsi="Arial" w:cs="Arial"/>
                      <w:b/>
                      <w:bCs/>
                      <w:color w:val="4D4D4D"/>
                      <w:sz w:val="23"/>
                      <w:szCs w:val="23"/>
                    </w:rPr>
                    <w:t xml:space="preserve">, </w:t>
                  </w:r>
                  <w:r w:rsidR="00D733E9">
                    <w:rPr>
                      <w:rFonts w:ascii="Arial" w:eastAsia="Times New Roman" w:hAnsi="Arial" w:cs="Arial"/>
                      <w:b/>
                      <w:bCs/>
                      <w:color w:val="4D4D4D"/>
                      <w:sz w:val="23"/>
                      <w:szCs w:val="23"/>
                    </w:rPr>
                    <w:t>University of North Carolina Charlotte</w:t>
                  </w:r>
                  <w:r>
                    <w:rPr>
                      <w:rFonts w:ascii="Arial" w:eastAsia="Times New Roman" w:hAnsi="Arial" w:cs="Arial"/>
                      <w:b/>
                      <w:bCs/>
                      <w:color w:val="4D4D4D"/>
                      <w:sz w:val="23"/>
                      <w:szCs w:val="23"/>
                    </w:rPr>
                    <w:t xml:space="preserve"> and University of Georgia:</w:t>
                  </w:r>
                  <w:r>
                    <w:rPr>
                      <w:rFonts w:ascii="Arial" w:eastAsia="Times New Roman" w:hAnsi="Arial" w:cs="Arial"/>
                      <w:color w:val="4D4D4D"/>
                      <w:sz w:val="23"/>
                      <w:szCs w:val="23"/>
                    </w:rPr>
                    <w:t> Implementation plan, process and details on the institutions’ transition from effort reporting to payroll confirmation; lessons learned and reductions to administrative and faculty burden; back-end platform utilization of Workday and Peoplesoft (respectively)</w:t>
                  </w:r>
                </w:p>
                <w:p w14:paraId="38477094"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lastRenderedPageBreak/>
                    <w:t>Reduction of Burden for Universities that Transitioned to an ATE:</w:t>
                  </w:r>
                  <w:r>
                    <w:rPr>
                      <w:rFonts w:ascii="Arial" w:eastAsia="Times New Roman" w:hAnsi="Arial" w:cs="Arial"/>
                      <w:color w:val="4D4D4D"/>
                      <w:sz w:val="23"/>
                      <w:szCs w:val="23"/>
                    </w:rPr>
                    <w:t> Benefits, lessons learned and reduction of administrative burden from FDP pilot and other institutions that were early adopters of alternatives to effort reporting</w:t>
                  </w:r>
                </w:p>
                <w:p w14:paraId="27B6BD14"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Audit Community Presentations:</w:t>
                  </w:r>
                  <w:r>
                    <w:rPr>
                      <w:rFonts w:ascii="Arial" w:eastAsia="Times New Roman" w:hAnsi="Arial" w:cs="Arial"/>
                      <w:color w:val="4D4D4D"/>
                      <w:sz w:val="23"/>
                      <w:szCs w:val="23"/>
                    </w:rPr>
                    <w:t> Panel discussions and presentations about CERA tools for ATE and Uniform Guidance Compensation Compliance requirements, including input from:</w:t>
                  </w:r>
                </w:p>
                <w:p w14:paraId="28805D8B" w14:textId="77777777" w:rsidR="001F4826" w:rsidRDefault="001F4826" w:rsidP="001A656A">
                  <w:pPr>
                    <w:numPr>
                      <w:ilvl w:val="1"/>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color w:val="4D4D4D"/>
                      <w:sz w:val="23"/>
                      <w:szCs w:val="23"/>
                    </w:rPr>
                    <w:t>A Former NSF Fraud Investigator</w:t>
                  </w:r>
                </w:p>
                <w:p w14:paraId="5F915697" w14:textId="77777777" w:rsidR="001F4826" w:rsidRDefault="00D733E9" w:rsidP="001A656A">
                  <w:pPr>
                    <w:numPr>
                      <w:ilvl w:val="1"/>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color w:val="4D4D4D"/>
                      <w:sz w:val="23"/>
                      <w:szCs w:val="23"/>
                    </w:rPr>
                    <w:t>Single Audit Experts</w:t>
                  </w:r>
                </w:p>
                <w:p w14:paraId="65B3C86D"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Electronic Solutions for ATE:</w:t>
                  </w:r>
                  <w:r>
                    <w:rPr>
                      <w:rFonts w:ascii="Arial" w:eastAsia="Times New Roman" w:hAnsi="Arial" w:cs="Arial"/>
                      <w:color w:val="4D4D4D"/>
                      <w:sz w:val="23"/>
                      <w:szCs w:val="23"/>
                    </w:rPr>
                    <w:t> Operational challenges and successes in implementing an electronic ATE solution for compensation compliance</w:t>
                  </w:r>
                </w:p>
                <w:p w14:paraId="3D1CFB2E"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HHS OIG:</w:t>
                  </w:r>
                  <w:r>
                    <w:rPr>
                      <w:rFonts w:ascii="Arial" w:eastAsia="Times New Roman" w:hAnsi="Arial" w:cs="Arial"/>
                      <w:color w:val="4D4D4D"/>
                      <w:sz w:val="23"/>
                      <w:szCs w:val="23"/>
                    </w:rPr>
                    <w:t> International audits and factors that lead to a fraud investigation</w:t>
                  </w:r>
                </w:p>
                <w:p w14:paraId="1BDCD7AC"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Senior Leadership Conversation:</w:t>
                  </w:r>
                  <w:r>
                    <w:rPr>
                      <w:rFonts w:ascii="Arial" w:eastAsia="Times New Roman" w:hAnsi="Arial" w:cs="Arial"/>
                      <w:color w:val="4D4D4D"/>
                      <w:sz w:val="23"/>
                      <w:szCs w:val="23"/>
                    </w:rPr>
                    <w:t> Why move to an ATE?</w:t>
                  </w:r>
                </w:p>
                <w:p w14:paraId="024AB1A9"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Compensation Compliance Through the Grant Lifecycle:</w:t>
                  </w:r>
                  <w:r>
                    <w:rPr>
                      <w:rFonts w:ascii="Arial" w:eastAsia="Times New Roman" w:hAnsi="Arial" w:cs="Arial"/>
                      <w:color w:val="4D4D4D"/>
                      <w:sz w:val="23"/>
                      <w:szCs w:val="23"/>
                    </w:rPr>
                    <w:t> Estimating salary in proposals, allocating salary in ongoing awards and reporting salary in technical reports; how IBS/number of person months and “commitments” are recorded and allocated in accordance with Uniform Guidance</w:t>
                  </w:r>
                </w:p>
                <w:p w14:paraId="068E6183"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University of Pennsylvania Cost Transfer Policy</w:t>
                  </w:r>
                </w:p>
                <w:p w14:paraId="1F3F8C27" w14:textId="77777777" w:rsidR="001F4826" w:rsidRDefault="001F4826" w:rsidP="001A656A">
                  <w:pPr>
                    <w:numPr>
                      <w:ilvl w:val="0"/>
                      <w:numId w:val="1"/>
                    </w:numPr>
                    <w:spacing w:before="100" w:beforeAutospacing="1" w:after="100" w:afterAutospacing="1" w:line="345" w:lineRule="atLeast"/>
                    <w:rPr>
                      <w:rFonts w:ascii="Arial" w:eastAsia="Times New Roman" w:hAnsi="Arial" w:cs="Arial"/>
                      <w:color w:val="4D4D4D"/>
                      <w:sz w:val="23"/>
                      <w:szCs w:val="23"/>
                    </w:rPr>
                  </w:pPr>
                  <w:r>
                    <w:rPr>
                      <w:rFonts w:ascii="Arial" w:eastAsia="Times New Roman" w:hAnsi="Arial" w:cs="Arial"/>
                      <w:b/>
                      <w:bCs/>
                      <w:color w:val="4D4D4D"/>
                      <w:sz w:val="23"/>
                      <w:szCs w:val="23"/>
                    </w:rPr>
                    <w:t>Industry Expert Sessions on COSO/Green Book</w:t>
                  </w:r>
                </w:p>
                <w:p w14:paraId="63F0690E" w14:textId="77777777" w:rsidR="001F4826" w:rsidRDefault="001F4826">
                  <w:pPr>
                    <w:spacing w:line="345" w:lineRule="atLeast"/>
                    <w:rPr>
                      <w:rFonts w:ascii="Arial" w:hAnsi="Arial" w:cs="Arial"/>
                      <w:color w:val="4D4D4D"/>
                      <w:sz w:val="23"/>
                      <w:szCs w:val="23"/>
                    </w:rPr>
                  </w:pPr>
                  <w:r>
                    <w:rPr>
                      <w:rFonts w:ascii="Arial" w:hAnsi="Arial" w:cs="Arial"/>
                      <w:color w:val="4D4D4D"/>
                      <w:sz w:val="23"/>
                      <w:szCs w:val="23"/>
                    </w:rPr>
                    <w:br/>
                  </w:r>
                  <w:r>
                    <w:rPr>
                      <w:rFonts w:ascii="Arial" w:hAnsi="Arial" w:cs="Arial"/>
                      <w:b/>
                      <w:bCs/>
                      <w:color w:val="4D4D4D"/>
                      <w:sz w:val="23"/>
                      <w:szCs w:val="23"/>
                    </w:rPr>
                    <w:t>Optional Add-On Workshop (November 13):</w:t>
                  </w:r>
                  <w:r>
                    <w:rPr>
                      <w:rFonts w:ascii="Arial" w:hAnsi="Arial" w:cs="Arial"/>
                      <w:color w:val="4D4D4D"/>
                      <w:sz w:val="23"/>
                      <w:szCs w:val="23"/>
                    </w:rPr>
                    <w:t xml:space="preserve"> In addition to the above workshop, the Cohort for Efficiencies in Research Administration will be offering an add-on, deep-dive working session for compensation compliance on November 13. This add-on workshop invites mid- to upper-administrative personnel to discuss the CERA Internal Control Framework for Compensation and the Standards for Documenting Compensation. The Cohort will provide detailed examples of how to map or re-evaluate institutional policies and procedures for both meeting the compensation </w:t>
                  </w:r>
                  <w:r>
                    <w:rPr>
                      <w:rFonts w:ascii="Arial" w:hAnsi="Arial" w:cs="Arial"/>
                      <w:color w:val="4D4D4D"/>
                      <w:sz w:val="23"/>
                      <w:szCs w:val="23"/>
                    </w:rPr>
                    <w:lastRenderedPageBreak/>
                    <w:t>requirements of the Uniform Guidance and transitioning toward an ATE.</w:t>
                  </w:r>
                  <w:r>
                    <w:rPr>
                      <w:rFonts w:ascii="Arial" w:hAnsi="Arial" w:cs="Arial"/>
                      <w:color w:val="4D4D4D"/>
                      <w:sz w:val="23"/>
                      <w:szCs w:val="23"/>
                    </w:rPr>
                    <w:br/>
                  </w:r>
                  <w:r>
                    <w:rPr>
                      <w:rFonts w:ascii="Arial" w:hAnsi="Arial" w:cs="Arial"/>
                      <w:color w:val="4D4D4D"/>
                      <w:sz w:val="23"/>
                      <w:szCs w:val="23"/>
                    </w:rPr>
                    <w:br/>
                    <w:t>We have secured a room block from November 12-16 at the Sheraton University City (3549 Chestnut Street). Please follow the link below to register for the conference and secure your hotel room. We look forward to seeing you in November.</w:t>
                  </w:r>
                </w:p>
              </w:tc>
            </w:tr>
            <w:tr w:rsidR="001F4826" w14:paraId="1BEA1650" w14:textId="77777777">
              <w:trPr>
                <w:tblCellSpacing w:w="0" w:type="dxa"/>
                <w:jc w:val="center"/>
              </w:trPr>
              <w:tc>
                <w:tcPr>
                  <w:tcW w:w="0" w:type="auto"/>
                  <w:gridSpan w:val="2"/>
                  <w:tcMar>
                    <w:top w:w="600" w:type="dxa"/>
                    <w:left w:w="0" w:type="dxa"/>
                    <w:bottom w:w="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158"/>
                  </w:tblGrid>
                  <w:tr w:rsidR="001F4826" w14:paraId="3FDEF0F4" w14:textId="77777777">
                    <w:trPr>
                      <w:tblCellSpacing w:w="0" w:type="dxa"/>
                      <w:jc w:val="center"/>
                    </w:trPr>
                    <w:tc>
                      <w:tcPr>
                        <w:tcW w:w="0" w:type="auto"/>
                        <w:shd w:val="clear" w:color="auto" w:fill="00558C"/>
                        <w:vAlign w:val="center"/>
                        <w:hideMark/>
                      </w:tcPr>
                      <w:p w14:paraId="78A7290E" w14:textId="77777777" w:rsidR="001F4826" w:rsidRDefault="004D70CB">
                        <w:pPr>
                          <w:jc w:val="center"/>
                        </w:pPr>
                        <w:hyperlink r:id="rId9" w:history="1">
                          <w:r w:rsidR="001F4826">
                            <w:rPr>
                              <w:rStyle w:val="Hyperlink"/>
                              <w:rFonts w:ascii="Arial" w:hAnsi="Arial" w:cs="Arial"/>
                              <w:b/>
                              <w:bCs/>
                              <w:color w:val="FFFFFF"/>
                              <w:sz w:val="30"/>
                              <w:szCs w:val="30"/>
                              <w:bdr w:val="single" w:sz="48" w:space="0" w:color="00558C" w:frame="1"/>
                              <w:shd w:val="clear" w:color="auto" w:fill="00558C"/>
                            </w:rPr>
                            <w:t>Register Now</w:t>
                          </w:r>
                        </w:hyperlink>
                      </w:p>
                    </w:tc>
                  </w:tr>
                </w:tbl>
                <w:p w14:paraId="66CE85A6" w14:textId="77777777" w:rsidR="001F4826" w:rsidRDefault="001F4826">
                  <w:pPr>
                    <w:jc w:val="center"/>
                    <w:rPr>
                      <w:rFonts w:ascii="Times New Roman" w:eastAsia="Times New Roman" w:hAnsi="Times New Roman" w:cs="Times New Roman"/>
                      <w:sz w:val="20"/>
                      <w:szCs w:val="20"/>
                    </w:rPr>
                  </w:pPr>
                </w:p>
              </w:tc>
            </w:tr>
          </w:tbl>
          <w:p w14:paraId="7E66A8D7" w14:textId="77777777" w:rsidR="001F4826" w:rsidRDefault="001F4826">
            <w:pPr>
              <w:jc w:val="center"/>
              <w:rPr>
                <w:rFonts w:ascii="Times New Roman" w:eastAsia="Times New Roman" w:hAnsi="Times New Roman" w:cs="Times New Roman"/>
                <w:sz w:val="20"/>
                <w:szCs w:val="20"/>
              </w:rPr>
            </w:pPr>
          </w:p>
        </w:tc>
      </w:tr>
    </w:tbl>
    <w:p w14:paraId="115E09B0" w14:textId="77777777" w:rsidR="000D1EF9" w:rsidRDefault="000D1EF9"/>
    <w:sectPr w:rsidR="000D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54AF"/>
    <w:multiLevelType w:val="multilevel"/>
    <w:tmpl w:val="0304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26"/>
    <w:rsid w:val="000D1EF9"/>
    <w:rsid w:val="001F4826"/>
    <w:rsid w:val="00226C04"/>
    <w:rsid w:val="004D70CB"/>
    <w:rsid w:val="005A1B96"/>
    <w:rsid w:val="00D733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20C2"/>
  <w15:chartTrackingRefBased/>
  <w15:docId w15:val="{6A275B4B-0FDC-444A-AA38-36C85ADD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4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8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4.png@01D56D90.D14D4D00" TargetMode="External"/><Relationship Id="rId7" Type="http://schemas.openxmlformats.org/officeDocument/2006/relationships/image" Target="media/image2.png"/><Relationship Id="rId8" Type="http://schemas.openxmlformats.org/officeDocument/2006/relationships/image" Target="cid:image005.png@01D56D90.D14D4D00" TargetMode="External"/><Relationship Id="rId9" Type="http://schemas.openxmlformats.org/officeDocument/2006/relationships/hyperlink" Target="https://nam05.safelinks.protection.outlook.com/?url=https%3A%2F%2Fsecure.touchnet.net%2FC21611_ustores%2Fweb%2Fstore_main.jsp%3FSTOREID%3D2&amp;data=02%7C01%7Clisa.mosley%40yale.edu%7C6c101f974642481e689808d73bc19b9a%7Cdd8cbebb21394df8b4114e3e87abeb5c%7C0%7C0%7C637043575044014602&amp;sdata=FW%2BuOZuNOAvY5q0pgMxeVXbriuKeAWpBj9PPQlDYHRI%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Lisa</dc:creator>
  <cp:keywords/>
  <dc:description/>
  <cp:lastModifiedBy>Microsoft Office User</cp:lastModifiedBy>
  <cp:revision>2</cp:revision>
  <dcterms:created xsi:type="dcterms:W3CDTF">2019-09-28T11:13:00Z</dcterms:created>
  <dcterms:modified xsi:type="dcterms:W3CDTF">2019-09-28T11:13:00Z</dcterms:modified>
</cp:coreProperties>
</file>