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106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127"/>
        <w:gridCol w:w="1663"/>
        <w:gridCol w:w="3150"/>
        <w:gridCol w:w="789"/>
        <w:gridCol w:w="21"/>
        <w:gridCol w:w="1980"/>
        <w:gridCol w:w="12"/>
        <w:gridCol w:w="2058"/>
        <w:gridCol w:w="990"/>
        <w:gridCol w:w="11"/>
        <w:gridCol w:w="6"/>
        <w:gridCol w:w="1316"/>
        <w:gridCol w:w="6"/>
        <w:gridCol w:w="11"/>
        <w:gridCol w:w="1142"/>
        <w:gridCol w:w="6"/>
        <w:gridCol w:w="22"/>
      </w:tblGrid>
      <w:tr w:rsidR="00D14260" w:rsidTr="002E4D77">
        <w:trPr>
          <w:gridAfter w:val="2"/>
          <w:wAfter w:w="28" w:type="dxa"/>
          <w:trHeight w:val="1170"/>
        </w:trPr>
        <w:tc>
          <w:tcPr>
            <w:tcW w:w="132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60" w:rsidRDefault="00D14260" w:rsidP="00D14260">
            <w:pPr>
              <w:pStyle w:val="TableParagraph"/>
              <w:spacing w:before="23"/>
              <w:ind w:left="5150" w:right="5126"/>
              <w:jc w:val="center"/>
              <w:rPr>
                <w:color w:val="FFFFFF"/>
                <w:sz w:val="20"/>
              </w:rPr>
            </w:pPr>
            <w:bookmarkStart w:id="0" w:name="_GoBack"/>
            <w:bookmarkEnd w:id="0"/>
          </w:p>
        </w:tc>
      </w:tr>
      <w:tr w:rsidR="00D14260" w:rsidTr="00D14260">
        <w:trPr>
          <w:gridAfter w:val="2"/>
          <w:wAfter w:w="28" w:type="dxa"/>
          <w:trHeight w:val="533"/>
        </w:trPr>
        <w:tc>
          <w:tcPr>
            <w:tcW w:w="132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4260" w:rsidRDefault="002E4D77" w:rsidP="00D14260">
            <w:pPr>
              <w:pStyle w:val="TableParagraph"/>
              <w:spacing w:before="23"/>
              <w:ind w:right="5126"/>
              <w:rPr>
                <w:color w:val="FFFFFF"/>
                <w:sz w:val="20"/>
              </w:rPr>
            </w:pPr>
            <w:r w:rsidRPr="00D14260">
              <w:rPr>
                <w:noProof/>
                <w:color w:val="FFFFFF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57150</wp:posOffset>
                      </wp:positionV>
                      <wp:extent cx="8267700" cy="180975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7700" cy="180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260" w:rsidRDefault="00D14260" w:rsidP="00D1426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D14260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Sample Score Card Form</w:t>
                                  </w:r>
                                </w:p>
                                <w:p w:rsidR="00C133E8" w:rsidRPr="00BA5547" w:rsidRDefault="0008725F" w:rsidP="00C133E8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BA5547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 xml:space="preserve">Rating </w:t>
                                  </w:r>
                                  <w:r w:rsidR="00BA5547" w:rsidRPr="00BA5547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-v</w:t>
                                  </w:r>
                                  <w:r w:rsidR="00C133E8" w:rsidRPr="00BA5547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alues-</w:t>
                                  </w:r>
                                  <w:r w:rsidR="00BA5547" w:rsidRPr="00BA5547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C133E8" w:rsidRPr="00BA5547" w:rsidRDefault="00C133E8" w:rsidP="00C133E8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BA5547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1 Alert- negative change in direction</w:t>
                                  </w:r>
                                </w:p>
                                <w:p w:rsidR="00C133E8" w:rsidRPr="00BA5547" w:rsidRDefault="00C133E8" w:rsidP="00C133E8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BA5547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2 Area of concern- no change</w:t>
                                  </w:r>
                                </w:p>
                                <w:p w:rsidR="00C133E8" w:rsidRPr="00BA5547" w:rsidRDefault="00C133E8" w:rsidP="00C133E8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BA5547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3. Goad met</w:t>
                                  </w:r>
                                </w:p>
                                <w:p w:rsidR="00C133E8" w:rsidRPr="00BA5547" w:rsidRDefault="00C133E8" w:rsidP="00C133E8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BA5547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4. Met stretch goal- exceeded goal</w:t>
                                  </w:r>
                                </w:p>
                                <w:p w:rsidR="00C133E8" w:rsidRPr="00BA5547" w:rsidRDefault="00C133E8" w:rsidP="00C133E8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BA5547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5. Met super stretch goal- significantly above expected goal</w:t>
                                  </w:r>
                                </w:p>
                                <w:p w:rsidR="00C133E8" w:rsidRPr="00D14260" w:rsidRDefault="00C133E8" w:rsidP="00D1426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4.5pt;width:651pt;height:14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">
                      <v:textbox>
                        <w:txbxContent>
                          <w:p w:rsidR="00D14260" w:rsidRDefault="00D14260" w:rsidP="00D142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1426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Sample Score Card Form</w:t>
                            </w:r>
                          </w:p>
                          <w:p w:rsidR="00C133E8" w:rsidRPr="00BA5547" w:rsidRDefault="0008725F" w:rsidP="00C133E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A554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Rating </w:t>
                            </w:r>
                            <w:r w:rsidR="00BA5547" w:rsidRPr="00BA554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-v</w:t>
                            </w:r>
                            <w:r w:rsidR="00C133E8" w:rsidRPr="00BA554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alues-</w:t>
                            </w:r>
                            <w:r w:rsidR="00BA5547" w:rsidRPr="00BA554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133E8" w:rsidRPr="00BA5547" w:rsidRDefault="00C133E8" w:rsidP="00C133E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A554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 Alert- negative change in direction</w:t>
                            </w:r>
                          </w:p>
                          <w:p w:rsidR="00C133E8" w:rsidRPr="00BA5547" w:rsidRDefault="00C133E8" w:rsidP="00C133E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A554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 Area of concern- no change</w:t>
                            </w:r>
                          </w:p>
                          <w:p w:rsidR="00C133E8" w:rsidRPr="00BA5547" w:rsidRDefault="00C133E8" w:rsidP="00C133E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A554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3. Goad met</w:t>
                            </w:r>
                          </w:p>
                          <w:p w:rsidR="00C133E8" w:rsidRPr="00BA5547" w:rsidRDefault="00C133E8" w:rsidP="00C133E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A554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4. Met stretch goal- exceeded goal</w:t>
                            </w:r>
                          </w:p>
                          <w:p w:rsidR="00C133E8" w:rsidRPr="00BA5547" w:rsidRDefault="00C133E8" w:rsidP="00C133E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A554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5. Met super stretch goal- significantly above expected goal</w:t>
                            </w:r>
                          </w:p>
                          <w:p w:rsidR="00C133E8" w:rsidRPr="00D14260" w:rsidRDefault="00C133E8" w:rsidP="00D142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E4D77" w:rsidTr="00D14260">
        <w:trPr>
          <w:gridAfter w:val="2"/>
          <w:wAfter w:w="28" w:type="dxa"/>
          <w:trHeight w:val="533"/>
        </w:trPr>
        <w:tc>
          <w:tcPr>
            <w:tcW w:w="132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E4D77" w:rsidRDefault="002E4D77" w:rsidP="00D14260">
            <w:pPr>
              <w:pStyle w:val="TableParagraph"/>
              <w:spacing w:before="23"/>
              <w:ind w:right="5126"/>
              <w:rPr>
                <w:color w:val="FFFFFF"/>
                <w:sz w:val="20"/>
              </w:rPr>
            </w:pPr>
          </w:p>
        </w:tc>
      </w:tr>
      <w:tr w:rsidR="00D14260" w:rsidTr="00D14260">
        <w:trPr>
          <w:gridAfter w:val="2"/>
          <w:wAfter w:w="28" w:type="dxa"/>
          <w:trHeight w:val="533"/>
        </w:trPr>
        <w:tc>
          <w:tcPr>
            <w:tcW w:w="132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60" w:rsidRDefault="00D14260" w:rsidP="00D14260">
            <w:pPr>
              <w:pStyle w:val="TableParagraph"/>
              <w:spacing w:before="23"/>
              <w:ind w:right="5126"/>
              <w:rPr>
                <w:color w:val="FFFFFF"/>
                <w:sz w:val="20"/>
              </w:rPr>
            </w:pPr>
          </w:p>
        </w:tc>
      </w:tr>
      <w:tr w:rsidR="002E4D77" w:rsidTr="00D14260">
        <w:trPr>
          <w:gridAfter w:val="2"/>
          <w:wAfter w:w="28" w:type="dxa"/>
          <w:trHeight w:val="533"/>
        </w:trPr>
        <w:tc>
          <w:tcPr>
            <w:tcW w:w="132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D77" w:rsidRDefault="002E4D77" w:rsidP="00D14260">
            <w:pPr>
              <w:pStyle w:val="TableParagraph"/>
              <w:spacing w:before="23"/>
              <w:ind w:right="5126"/>
              <w:rPr>
                <w:color w:val="FFFFFF"/>
                <w:sz w:val="20"/>
              </w:rPr>
            </w:pPr>
          </w:p>
        </w:tc>
      </w:tr>
      <w:tr w:rsidR="00D14260" w:rsidTr="002E4D77">
        <w:trPr>
          <w:gridAfter w:val="2"/>
          <w:wAfter w:w="28" w:type="dxa"/>
          <w:trHeight w:val="80"/>
        </w:trPr>
        <w:tc>
          <w:tcPr>
            <w:tcW w:w="132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60" w:rsidRDefault="00D14260" w:rsidP="00D14260">
            <w:pPr>
              <w:pStyle w:val="TableParagraph"/>
              <w:spacing w:before="23"/>
              <w:ind w:left="5150" w:right="5126"/>
              <w:jc w:val="center"/>
              <w:rPr>
                <w:color w:val="FFFFFF"/>
                <w:sz w:val="20"/>
              </w:rPr>
            </w:pPr>
          </w:p>
        </w:tc>
      </w:tr>
      <w:tr w:rsidR="00B9663D" w:rsidTr="00D14260">
        <w:trPr>
          <w:gridAfter w:val="2"/>
          <w:wAfter w:w="28" w:type="dxa"/>
          <w:trHeight w:val="471"/>
        </w:trPr>
        <w:tc>
          <w:tcPr>
            <w:tcW w:w="1800" w:type="dxa"/>
            <w:gridSpan w:val="3"/>
            <w:shd w:val="clear" w:color="auto" w:fill="EEECE1"/>
          </w:tcPr>
          <w:p w:rsidR="00B9663D" w:rsidRDefault="009F2564" w:rsidP="00D14260">
            <w:pPr>
              <w:pStyle w:val="TableParagraph"/>
              <w:spacing w:before="114"/>
              <w:ind w:left="405"/>
              <w:rPr>
                <w:sz w:val="20"/>
              </w:rPr>
            </w:pPr>
            <w:r>
              <w:rPr>
                <w:sz w:val="20"/>
              </w:rPr>
              <w:t>Imperative</w:t>
            </w:r>
          </w:p>
        </w:tc>
        <w:tc>
          <w:tcPr>
            <w:tcW w:w="3150" w:type="dxa"/>
            <w:shd w:val="clear" w:color="auto" w:fill="EEECE1"/>
          </w:tcPr>
          <w:p w:rsidR="00B9663D" w:rsidRDefault="009F2564" w:rsidP="00D14260">
            <w:pPr>
              <w:pStyle w:val="TableParagraph"/>
              <w:spacing w:before="114"/>
              <w:ind w:left="1360" w:right="1338"/>
              <w:jc w:val="center"/>
              <w:rPr>
                <w:sz w:val="20"/>
              </w:rPr>
            </w:pPr>
            <w:r>
              <w:rPr>
                <w:sz w:val="20"/>
              </w:rPr>
              <w:t>Goal</w:t>
            </w:r>
          </w:p>
        </w:tc>
        <w:tc>
          <w:tcPr>
            <w:tcW w:w="789" w:type="dxa"/>
            <w:shd w:val="clear" w:color="auto" w:fill="EEECE1"/>
          </w:tcPr>
          <w:p w:rsidR="00B9663D" w:rsidRDefault="009F2564" w:rsidP="00D14260">
            <w:pPr>
              <w:pStyle w:val="TableParagraph"/>
              <w:spacing w:before="114"/>
              <w:ind w:left="84" w:right="61"/>
              <w:jc w:val="center"/>
              <w:rPr>
                <w:sz w:val="20"/>
              </w:rPr>
            </w:pPr>
            <w:r>
              <w:rPr>
                <w:sz w:val="20"/>
              </w:rPr>
              <w:t>Weight</w:t>
            </w:r>
          </w:p>
        </w:tc>
        <w:tc>
          <w:tcPr>
            <w:tcW w:w="2013" w:type="dxa"/>
            <w:gridSpan w:val="3"/>
            <w:shd w:val="clear" w:color="auto" w:fill="EEECE1"/>
          </w:tcPr>
          <w:p w:rsidR="00B9663D" w:rsidRDefault="009F2564" w:rsidP="00D14260">
            <w:pPr>
              <w:pStyle w:val="TableParagraph"/>
              <w:spacing w:before="114"/>
              <w:ind w:left="782" w:right="758"/>
              <w:jc w:val="center"/>
              <w:rPr>
                <w:sz w:val="20"/>
              </w:rPr>
            </w:pPr>
            <w:r>
              <w:rPr>
                <w:sz w:val="20"/>
              </w:rPr>
              <w:t>Scale</w:t>
            </w:r>
          </w:p>
        </w:tc>
        <w:tc>
          <w:tcPr>
            <w:tcW w:w="2058" w:type="dxa"/>
            <w:shd w:val="clear" w:color="auto" w:fill="EEECE1"/>
          </w:tcPr>
          <w:p w:rsidR="00B9663D" w:rsidRDefault="009F2564" w:rsidP="00D14260">
            <w:pPr>
              <w:pStyle w:val="TableParagraph"/>
              <w:spacing w:before="114"/>
              <w:ind w:left="639"/>
              <w:rPr>
                <w:sz w:val="20"/>
              </w:rPr>
            </w:pPr>
            <w:r>
              <w:rPr>
                <w:sz w:val="20"/>
              </w:rPr>
              <w:t>Outcome</w:t>
            </w:r>
          </w:p>
        </w:tc>
        <w:tc>
          <w:tcPr>
            <w:tcW w:w="1001" w:type="dxa"/>
            <w:gridSpan w:val="2"/>
            <w:shd w:val="clear" w:color="auto" w:fill="EEECE1"/>
          </w:tcPr>
          <w:p w:rsidR="00B9663D" w:rsidRDefault="009F2564" w:rsidP="00D14260">
            <w:pPr>
              <w:pStyle w:val="TableParagraph"/>
              <w:spacing w:before="114"/>
              <w:ind w:left="304"/>
              <w:rPr>
                <w:sz w:val="20"/>
              </w:rPr>
            </w:pPr>
            <w:r>
              <w:rPr>
                <w:sz w:val="20"/>
              </w:rPr>
              <w:t>Score</w:t>
            </w:r>
          </w:p>
        </w:tc>
        <w:tc>
          <w:tcPr>
            <w:tcW w:w="1322" w:type="dxa"/>
            <w:gridSpan w:val="2"/>
            <w:shd w:val="clear" w:color="auto" w:fill="EEECE1"/>
          </w:tcPr>
          <w:p w:rsidR="00B9663D" w:rsidRDefault="009F2564" w:rsidP="00D14260">
            <w:pPr>
              <w:pStyle w:val="TableParagraph"/>
              <w:spacing w:line="229" w:lineRule="exact"/>
              <w:ind w:left="252" w:right="223"/>
              <w:jc w:val="center"/>
              <w:rPr>
                <w:sz w:val="20"/>
              </w:rPr>
            </w:pPr>
            <w:r>
              <w:rPr>
                <w:sz w:val="20"/>
              </w:rPr>
              <w:t>Weighted</w:t>
            </w:r>
          </w:p>
          <w:p w:rsidR="00B9663D" w:rsidRDefault="009F2564" w:rsidP="00D14260">
            <w:pPr>
              <w:pStyle w:val="TableParagraph"/>
              <w:spacing w:before="17" w:line="206" w:lineRule="exact"/>
              <w:ind w:left="252" w:right="221"/>
              <w:jc w:val="center"/>
              <w:rPr>
                <w:sz w:val="20"/>
              </w:rPr>
            </w:pPr>
            <w:r>
              <w:rPr>
                <w:sz w:val="20"/>
              </w:rPr>
              <w:t>Score</w:t>
            </w:r>
          </w:p>
        </w:tc>
        <w:tc>
          <w:tcPr>
            <w:tcW w:w="1159" w:type="dxa"/>
            <w:gridSpan w:val="3"/>
            <w:shd w:val="clear" w:color="auto" w:fill="EEECE1"/>
          </w:tcPr>
          <w:p w:rsidR="00B9663D" w:rsidRDefault="009F2564" w:rsidP="00D14260">
            <w:pPr>
              <w:pStyle w:val="TableParagraph"/>
              <w:spacing w:before="114"/>
              <w:ind w:left="331"/>
              <w:rPr>
                <w:sz w:val="20"/>
              </w:rPr>
            </w:pPr>
            <w:r>
              <w:rPr>
                <w:sz w:val="20"/>
              </w:rPr>
              <w:t>Status</w:t>
            </w:r>
          </w:p>
        </w:tc>
      </w:tr>
      <w:tr w:rsidR="00B9663D" w:rsidTr="00D14260">
        <w:trPr>
          <w:gridAfter w:val="2"/>
          <w:wAfter w:w="28" w:type="dxa"/>
          <w:trHeight w:val="719"/>
        </w:trPr>
        <w:tc>
          <w:tcPr>
            <w:tcW w:w="1800" w:type="dxa"/>
            <w:gridSpan w:val="3"/>
          </w:tcPr>
          <w:p w:rsidR="00B9663D" w:rsidRDefault="001B5503" w:rsidP="00D14260"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1</w:t>
            </w:r>
            <w:r w:rsidR="009F2564">
              <w:rPr>
                <w:sz w:val="20"/>
              </w:rPr>
              <w:t>-Student Success</w:t>
            </w:r>
          </w:p>
        </w:tc>
        <w:tc>
          <w:tcPr>
            <w:tcW w:w="3150" w:type="dxa"/>
          </w:tcPr>
          <w:p w:rsidR="00B9663D" w:rsidRDefault="009F2564" w:rsidP="00D14260">
            <w:pPr>
              <w:pStyle w:val="TableParagraph"/>
              <w:spacing w:line="256" w:lineRule="auto"/>
              <w:ind w:left="35" w:right="-4"/>
              <w:rPr>
                <w:sz w:val="20"/>
              </w:rPr>
            </w:pPr>
            <w:r>
              <w:rPr>
                <w:sz w:val="20"/>
              </w:rPr>
              <w:t>Retention: Improve First Year Retention, FR to SO (Fall 2017 Cohort)</w:t>
            </w:r>
          </w:p>
        </w:tc>
        <w:tc>
          <w:tcPr>
            <w:tcW w:w="789" w:type="dxa"/>
          </w:tcPr>
          <w:p w:rsidR="00B9663D" w:rsidRDefault="00BA5547" w:rsidP="00D14260">
            <w:pPr>
              <w:pStyle w:val="TableParagraph"/>
              <w:spacing w:line="243" w:lineRule="exact"/>
              <w:ind w:left="84" w:right="6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F2564">
              <w:rPr>
                <w:sz w:val="20"/>
              </w:rPr>
              <w:t>0%</w:t>
            </w:r>
          </w:p>
        </w:tc>
        <w:tc>
          <w:tcPr>
            <w:tcW w:w="2013" w:type="dxa"/>
            <w:gridSpan w:val="3"/>
          </w:tcPr>
          <w:p w:rsidR="00B9663D" w:rsidRDefault="009F2564" w:rsidP="00D14260">
            <w:pPr>
              <w:pStyle w:val="TableParagraph"/>
              <w:spacing w:line="243" w:lineRule="exact"/>
              <w:ind w:left="36"/>
              <w:rPr>
                <w:sz w:val="20"/>
              </w:rPr>
            </w:pPr>
            <w:r>
              <w:rPr>
                <w:sz w:val="20"/>
              </w:rPr>
              <w:t>5 = 74.6% +</w:t>
            </w:r>
          </w:p>
          <w:p w:rsidR="0008725F" w:rsidRDefault="0008725F" w:rsidP="00D14260">
            <w:pPr>
              <w:pStyle w:val="TableParagraph"/>
              <w:spacing w:line="243" w:lineRule="exact"/>
              <w:ind w:left="36"/>
              <w:rPr>
                <w:sz w:val="20"/>
              </w:rPr>
            </w:pPr>
            <w:r>
              <w:rPr>
                <w:sz w:val="20"/>
              </w:rPr>
              <w:t>4 = 73.6% - 74.5%</w:t>
            </w:r>
          </w:p>
        </w:tc>
        <w:tc>
          <w:tcPr>
            <w:tcW w:w="2058" w:type="dxa"/>
          </w:tcPr>
          <w:p w:rsidR="00B9663D" w:rsidRDefault="00B9663D" w:rsidP="00D142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  <w:gridSpan w:val="2"/>
          </w:tcPr>
          <w:p w:rsidR="00B9663D" w:rsidRDefault="00B9663D" w:rsidP="00D142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gridSpan w:val="2"/>
          </w:tcPr>
          <w:p w:rsidR="00B9663D" w:rsidRDefault="00B9663D" w:rsidP="00D142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  <w:gridSpan w:val="3"/>
          </w:tcPr>
          <w:p w:rsidR="00B9663D" w:rsidRDefault="00B9663D" w:rsidP="00D14260">
            <w:pPr>
              <w:pStyle w:val="TableParagraph"/>
              <w:spacing w:line="256" w:lineRule="auto"/>
              <w:ind w:left="38" w:right="125"/>
              <w:rPr>
                <w:sz w:val="20"/>
              </w:rPr>
            </w:pPr>
          </w:p>
        </w:tc>
      </w:tr>
      <w:tr w:rsidR="0008725F" w:rsidTr="00D14260">
        <w:trPr>
          <w:gridAfter w:val="2"/>
          <w:wAfter w:w="28" w:type="dxa"/>
          <w:trHeight w:val="270"/>
        </w:trPr>
        <w:tc>
          <w:tcPr>
            <w:tcW w:w="1800" w:type="dxa"/>
            <w:gridSpan w:val="3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0" w:type="dxa"/>
          </w:tcPr>
          <w:p w:rsidR="0008725F" w:rsidRDefault="0008725F" w:rsidP="0008725F">
            <w:pPr>
              <w:pStyle w:val="TableParagraph"/>
              <w:spacing w:line="243" w:lineRule="exact"/>
              <w:ind w:left="35"/>
              <w:rPr>
                <w:i/>
                <w:sz w:val="20"/>
              </w:rPr>
            </w:pPr>
            <w:r>
              <w:rPr>
                <w:i/>
                <w:sz w:val="20"/>
              </w:rPr>
              <w:t>Fall 2016 cohort = 72.38%</w:t>
            </w:r>
          </w:p>
        </w:tc>
        <w:tc>
          <w:tcPr>
            <w:tcW w:w="789" w:type="dx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  <w:gridSpan w:val="3"/>
          </w:tcPr>
          <w:p w:rsidR="0008725F" w:rsidRDefault="0008725F" w:rsidP="0008725F">
            <w:pPr>
              <w:pStyle w:val="TableParagraph"/>
              <w:spacing w:line="243" w:lineRule="exact"/>
              <w:ind w:left="36"/>
              <w:rPr>
                <w:sz w:val="20"/>
              </w:rPr>
            </w:pPr>
            <w:r>
              <w:rPr>
                <w:sz w:val="20"/>
              </w:rPr>
              <w:t>3 = 72.6% - 73.5%</w:t>
            </w:r>
          </w:p>
        </w:tc>
        <w:tc>
          <w:tcPr>
            <w:tcW w:w="2058" w:type="dx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  <w:gridSpan w:val="2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gridSpan w:val="2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  <w:gridSpan w:val="3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725F" w:rsidTr="00D14260">
        <w:trPr>
          <w:gridAfter w:val="2"/>
          <w:wAfter w:w="28" w:type="dxa"/>
          <w:trHeight w:val="270"/>
        </w:trPr>
        <w:tc>
          <w:tcPr>
            <w:tcW w:w="1800" w:type="dxa"/>
            <w:gridSpan w:val="3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0" w:type="dx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" w:type="dx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  <w:gridSpan w:val="3"/>
          </w:tcPr>
          <w:p w:rsidR="0008725F" w:rsidRDefault="0008725F" w:rsidP="0008725F">
            <w:pPr>
              <w:pStyle w:val="TableParagraph"/>
              <w:spacing w:line="243" w:lineRule="exact"/>
              <w:ind w:left="36"/>
              <w:rPr>
                <w:sz w:val="20"/>
              </w:rPr>
            </w:pPr>
            <w:r>
              <w:rPr>
                <w:sz w:val="20"/>
              </w:rPr>
              <w:t>2 = 71.6% - 72.5%</w:t>
            </w:r>
          </w:p>
        </w:tc>
        <w:tc>
          <w:tcPr>
            <w:tcW w:w="2058" w:type="dx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  <w:gridSpan w:val="2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gridSpan w:val="2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  <w:gridSpan w:val="3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725F" w:rsidTr="00D14260">
        <w:trPr>
          <w:gridAfter w:val="2"/>
          <w:wAfter w:w="28" w:type="dxa"/>
          <w:trHeight w:val="270"/>
        </w:trPr>
        <w:tc>
          <w:tcPr>
            <w:tcW w:w="1800" w:type="dxa"/>
            <w:gridSpan w:val="3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0" w:type="dx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" w:type="dx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  <w:gridSpan w:val="3"/>
          </w:tcPr>
          <w:p w:rsidR="0008725F" w:rsidRDefault="0008725F" w:rsidP="0008725F">
            <w:pPr>
              <w:pStyle w:val="TableParagraph"/>
              <w:spacing w:line="243" w:lineRule="exact"/>
              <w:ind w:left="36"/>
              <w:rPr>
                <w:sz w:val="20"/>
              </w:rPr>
            </w:pPr>
            <w:r>
              <w:rPr>
                <w:sz w:val="20"/>
              </w:rPr>
              <w:t>1 = 71.5% and below</w:t>
            </w:r>
          </w:p>
        </w:tc>
        <w:tc>
          <w:tcPr>
            <w:tcW w:w="2058" w:type="dx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  <w:gridSpan w:val="2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gridSpan w:val="2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  <w:gridSpan w:val="3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725F" w:rsidTr="00D14260">
        <w:trPr>
          <w:gridAfter w:val="2"/>
          <w:wAfter w:w="28" w:type="dxa"/>
          <w:trHeight w:val="270"/>
        </w:trPr>
        <w:tc>
          <w:tcPr>
            <w:tcW w:w="1800" w:type="dxa"/>
            <w:gridSpan w:val="3"/>
            <w:shd w:val="clear" w:color="auto" w:fill="DADAD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0" w:type="dxa"/>
            <w:shd w:val="clear" w:color="auto" w:fill="DADAD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" w:type="dxa"/>
            <w:shd w:val="clear" w:color="auto" w:fill="DADAD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  <w:gridSpan w:val="3"/>
            <w:shd w:val="clear" w:color="auto" w:fill="DADAD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  <w:shd w:val="clear" w:color="auto" w:fill="DADAD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  <w:gridSpan w:val="2"/>
            <w:shd w:val="clear" w:color="auto" w:fill="DADAD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gridSpan w:val="2"/>
            <w:shd w:val="clear" w:color="auto" w:fill="DADAD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  <w:gridSpan w:val="3"/>
            <w:shd w:val="clear" w:color="auto" w:fill="DADAD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725F" w:rsidTr="00D14260">
        <w:trPr>
          <w:gridAfter w:val="2"/>
          <w:wAfter w:w="28" w:type="dxa"/>
          <w:trHeight w:val="1213"/>
        </w:trPr>
        <w:tc>
          <w:tcPr>
            <w:tcW w:w="1800" w:type="dxa"/>
            <w:gridSpan w:val="3"/>
          </w:tcPr>
          <w:p w:rsidR="0008725F" w:rsidRDefault="0008725F" w:rsidP="0008725F"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2-Student Success</w:t>
            </w:r>
          </w:p>
        </w:tc>
        <w:tc>
          <w:tcPr>
            <w:tcW w:w="3150" w:type="dxa"/>
          </w:tcPr>
          <w:p w:rsidR="0008725F" w:rsidRDefault="0008725F" w:rsidP="0008725F">
            <w:pPr>
              <w:pStyle w:val="TableParagraph"/>
              <w:spacing w:line="256" w:lineRule="auto"/>
              <w:ind w:left="35" w:right="3"/>
              <w:rPr>
                <w:sz w:val="20"/>
              </w:rPr>
            </w:pPr>
            <w:r>
              <w:rPr>
                <w:sz w:val="20"/>
              </w:rPr>
              <w:t>DFW Rates, 3-Year Rolling Average, AY17-19: Improve rates in critical core courses (ACCT 2101, BIOL 1107, HIST</w:t>
            </w:r>
          </w:p>
          <w:p w:rsidR="0008725F" w:rsidRDefault="0008725F" w:rsidP="0008725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2111, MATH 1113, POLS 1101)</w:t>
            </w:r>
          </w:p>
        </w:tc>
        <w:tc>
          <w:tcPr>
            <w:tcW w:w="789" w:type="dxa"/>
          </w:tcPr>
          <w:p w:rsidR="0008725F" w:rsidRDefault="00BA5547" w:rsidP="0008725F">
            <w:pPr>
              <w:pStyle w:val="TableParagraph"/>
              <w:spacing w:line="243" w:lineRule="exact"/>
              <w:ind w:left="84" w:right="6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08725F">
              <w:rPr>
                <w:sz w:val="20"/>
              </w:rPr>
              <w:t>%</w:t>
            </w:r>
          </w:p>
        </w:tc>
        <w:tc>
          <w:tcPr>
            <w:tcW w:w="2013" w:type="dxa"/>
            <w:gridSpan w:val="3"/>
          </w:tcPr>
          <w:p w:rsidR="0008725F" w:rsidRDefault="0008725F" w:rsidP="0008725F">
            <w:pPr>
              <w:pStyle w:val="TableParagraph"/>
              <w:spacing w:line="243" w:lineRule="exact"/>
              <w:ind w:left="36"/>
              <w:rPr>
                <w:sz w:val="20"/>
              </w:rPr>
            </w:pPr>
            <w:r>
              <w:rPr>
                <w:sz w:val="20"/>
              </w:rPr>
              <w:t>5 = 22.0 - 22.9%</w:t>
            </w:r>
          </w:p>
          <w:p w:rsidR="0008725F" w:rsidRDefault="0008725F" w:rsidP="0008725F">
            <w:pPr>
              <w:pStyle w:val="TableParagraph"/>
              <w:spacing w:line="243" w:lineRule="exact"/>
              <w:ind w:left="36"/>
              <w:rPr>
                <w:sz w:val="20"/>
              </w:rPr>
            </w:pPr>
            <w:r>
              <w:rPr>
                <w:sz w:val="20"/>
              </w:rPr>
              <w:t>4 = 23.0 - 23.9%</w:t>
            </w:r>
          </w:p>
          <w:p w:rsidR="0008725F" w:rsidRDefault="0008725F" w:rsidP="0008725F">
            <w:pPr>
              <w:pStyle w:val="TableParagraph"/>
              <w:spacing w:line="243" w:lineRule="exact"/>
              <w:ind w:left="36"/>
              <w:rPr>
                <w:sz w:val="20"/>
              </w:rPr>
            </w:pPr>
            <w:r>
              <w:rPr>
                <w:sz w:val="20"/>
              </w:rPr>
              <w:t>3 = 24.0 - 24.9%</w:t>
            </w:r>
          </w:p>
          <w:p w:rsidR="0008725F" w:rsidRDefault="0008725F" w:rsidP="0008725F">
            <w:pPr>
              <w:pStyle w:val="TableParagraph"/>
              <w:spacing w:line="243" w:lineRule="exact"/>
              <w:ind w:left="36"/>
              <w:rPr>
                <w:sz w:val="20"/>
              </w:rPr>
            </w:pPr>
            <w:r>
              <w:rPr>
                <w:sz w:val="20"/>
              </w:rPr>
              <w:t>2 = 25.0 - 25.9%</w:t>
            </w:r>
          </w:p>
        </w:tc>
        <w:tc>
          <w:tcPr>
            <w:tcW w:w="2058" w:type="dx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  <w:gridSpan w:val="2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gridSpan w:val="2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  <w:gridSpan w:val="3"/>
          </w:tcPr>
          <w:p w:rsidR="0008725F" w:rsidRDefault="0008725F" w:rsidP="0008725F">
            <w:pPr>
              <w:pStyle w:val="TableParagraph"/>
              <w:spacing w:line="256" w:lineRule="auto"/>
              <w:ind w:left="38"/>
              <w:rPr>
                <w:sz w:val="20"/>
              </w:rPr>
            </w:pPr>
          </w:p>
        </w:tc>
      </w:tr>
      <w:tr w:rsidR="0008725F" w:rsidTr="00D14260">
        <w:trPr>
          <w:gridAfter w:val="2"/>
          <w:wAfter w:w="28" w:type="dxa"/>
          <w:trHeight w:val="270"/>
        </w:trPr>
        <w:tc>
          <w:tcPr>
            <w:tcW w:w="1800" w:type="dxa"/>
            <w:gridSpan w:val="3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0" w:type="dxa"/>
          </w:tcPr>
          <w:p w:rsidR="0008725F" w:rsidRDefault="0008725F" w:rsidP="0008725F">
            <w:pPr>
              <w:pStyle w:val="TableParagraph"/>
              <w:spacing w:line="243" w:lineRule="exact"/>
              <w:ind w:left="35"/>
              <w:rPr>
                <w:i/>
                <w:sz w:val="20"/>
              </w:rPr>
            </w:pPr>
            <w:r>
              <w:rPr>
                <w:i/>
                <w:sz w:val="20"/>
              </w:rPr>
              <w:t>AY16-18 DFW Rates = 24.7%</w:t>
            </w:r>
          </w:p>
        </w:tc>
        <w:tc>
          <w:tcPr>
            <w:tcW w:w="789" w:type="dx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  <w:gridSpan w:val="3"/>
          </w:tcPr>
          <w:p w:rsidR="0008725F" w:rsidRDefault="0008725F" w:rsidP="0008725F">
            <w:pPr>
              <w:pStyle w:val="TableParagraph"/>
              <w:spacing w:line="243" w:lineRule="exact"/>
              <w:ind w:left="36"/>
              <w:rPr>
                <w:sz w:val="20"/>
              </w:rPr>
            </w:pPr>
            <w:r>
              <w:rPr>
                <w:sz w:val="20"/>
              </w:rPr>
              <w:t>1 = 26.0 - 26.9%</w:t>
            </w:r>
          </w:p>
        </w:tc>
        <w:tc>
          <w:tcPr>
            <w:tcW w:w="2058" w:type="dx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  <w:gridSpan w:val="2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gridSpan w:val="2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  <w:gridSpan w:val="3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725F" w:rsidTr="0008725F">
        <w:trPr>
          <w:trHeight w:val="247"/>
        </w:trPr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08725F" w:rsidRPr="001B5503" w:rsidRDefault="0008725F" w:rsidP="0008725F">
            <w:pPr>
              <w:pStyle w:val="TableParagraph"/>
              <w:spacing w:line="243" w:lineRule="exact"/>
              <w:ind w:left="36"/>
              <w:rPr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725F" w:rsidTr="00D14260">
        <w:trPr>
          <w:trHeight w:val="270"/>
        </w:trPr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25F" w:rsidRPr="001B5503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lastRenderedPageBreak/>
              <w:t>3</w:t>
            </w:r>
            <w:r w:rsidRPr="001B5503">
              <w:rPr>
                <w:rFonts w:ascii="Times New Roman"/>
                <w:sz w:val="18"/>
              </w:rPr>
              <w:t>-Academic Success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25F" w:rsidRPr="001B5503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  <w:r w:rsidRPr="001B5503">
              <w:rPr>
                <w:rFonts w:ascii="Times New Roman"/>
                <w:sz w:val="18"/>
              </w:rPr>
              <w:t xml:space="preserve"> Develop and deliver 56 First Year Seminar course sections</w:t>
            </w:r>
          </w:p>
          <w:p w:rsidR="0008725F" w:rsidRPr="001B5503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  <w:r w:rsidRPr="001B5503">
              <w:rPr>
                <w:rFonts w:ascii="Times New Roman"/>
                <w:sz w:val="18"/>
              </w:rPr>
              <w:t>courses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25F" w:rsidRPr="001B5503" w:rsidRDefault="00BA5547" w:rsidP="0008725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</w:t>
            </w:r>
            <w:r w:rsidR="0008725F" w:rsidRPr="001B5503">
              <w:rPr>
                <w:rFonts w:ascii="Times New Roman"/>
                <w:sz w:val="18"/>
              </w:rPr>
              <w:t>%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25F" w:rsidRDefault="0008725F" w:rsidP="0008725F">
            <w:pPr>
              <w:pStyle w:val="TableParagraph"/>
              <w:spacing w:line="243" w:lineRule="exact"/>
              <w:ind w:left="36"/>
              <w:rPr>
                <w:sz w:val="20"/>
              </w:rPr>
            </w:pPr>
            <w:r>
              <w:rPr>
                <w:sz w:val="20"/>
              </w:rPr>
              <w:t>5 = 62+</w:t>
            </w:r>
          </w:p>
          <w:p w:rsidR="0008725F" w:rsidRDefault="0008725F" w:rsidP="0008725F">
            <w:pPr>
              <w:pStyle w:val="TableParagraph"/>
              <w:spacing w:line="243" w:lineRule="exact"/>
              <w:ind w:left="36"/>
              <w:rPr>
                <w:sz w:val="20"/>
              </w:rPr>
            </w:pPr>
            <w:r>
              <w:rPr>
                <w:sz w:val="20"/>
              </w:rPr>
              <w:t>4 =59-61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25F" w:rsidRPr="001B5503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725F" w:rsidTr="00D14260">
        <w:trPr>
          <w:trHeight w:val="270"/>
        </w:trPr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25F" w:rsidRPr="001B5503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  <w:r w:rsidRPr="001B5503">
              <w:rPr>
                <w:rFonts w:ascii="Times New Roman"/>
                <w:sz w:val="18"/>
              </w:rPr>
              <w:t>FY18 = 38 sections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25F" w:rsidRDefault="0008725F" w:rsidP="0008725F">
            <w:pPr>
              <w:pStyle w:val="TableParagraph"/>
              <w:spacing w:line="243" w:lineRule="exact"/>
              <w:ind w:left="36"/>
              <w:rPr>
                <w:sz w:val="20"/>
              </w:rPr>
            </w:pPr>
            <w:r>
              <w:rPr>
                <w:sz w:val="20"/>
              </w:rPr>
              <w:t>3 = 56-58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725F" w:rsidTr="00D14260">
        <w:trPr>
          <w:gridBefore w:val="1"/>
          <w:wBefore w:w="10" w:type="dxa"/>
          <w:trHeight w:val="270"/>
        </w:trPr>
        <w:tc>
          <w:tcPr>
            <w:tcW w:w="1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25F" w:rsidRPr="001B5503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  <w:r w:rsidRPr="001B5503">
              <w:rPr>
                <w:rFonts w:ascii="Times New Roman"/>
                <w:sz w:val="18"/>
              </w:rPr>
              <w:t>Note: Future scorecards will include KPIs on HIPs, Senior Capstone Experience, and Guided Pathways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25F" w:rsidRDefault="0008725F" w:rsidP="0008725F">
            <w:pPr>
              <w:pStyle w:val="TableParagraph"/>
              <w:spacing w:line="243" w:lineRule="exact"/>
              <w:ind w:left="36"/>
              <w:rPr>
                <w:sz w:val="20"/>
              </w:rPr>
            </w:pPr>
            <w:r>
              <w:rPr>
                <w:sz w:val="20"/>
              </w:rPr>
              <w:t>2 = 53-55</w:t>
            </w:r>
          </w:p>
          <w:p w:rsidR="0008725F" w:rsidRDefault="0008725F" w:rsidP="0008725F">
            <w:pPr>
              <w:pStyle w:val="TableParagraph"/>
              <w:spacing w:line="243" w:lineRule="exact"/>
              <w:ind w:left="36"/>
              <w:rPr>
                <w:sz w:val="20"/>
              </w:rPr>
            </w:pPr>
            <w:r>
              <w:rPr>
                <w:sz w:val="20"/>
              </w:rPr>
              <w:t>1 = 2 or fewer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725F" w:rsidTr="00D14260">
        <w:trPr>
          <w:gridBefore w:val="1"/>
          <w:wBefore w:w="10" w:type="dxa"/>
          <w:trHeight w:val="270"/>
        </w:trPr>
        <w:tc>
          <w:tcPr>
            <w:tcW w:w="1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08725F" w:rsidRPr="001B5503" w:rsidRDefault="0008725F" w:rsidP="0008725F">
            <w:pPr>
              <w:pStyle w:val="TableParagraph"/>
              <w:spacing w:line="243" w:lineRule="exact"/>
              <w:ind w:left="36"/>
              <w:rPr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725F" w:rsidTr="00D14260">
        <w:trPr>
          <w:gridBefore w:val="1"/>
          <w:wBefore w:w="10" w:type="dxa"/>
          <w:trHeight w:val="270"/>
        </w:trPr>
        <w:tc>
          <w:tcPr>
            <w:tcW w:w="1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25F" w:rsidRPr="001B5503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  <w:r w:rsidRPr="001B5503">
              <w:rPr>
                <w:rFonts w:ascii="Times New Roman"/>
                <w:sz w:val="18"/>
              </w:rPr>
              <w:t>-Academic Success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25F" w:rsidRPr="001B5503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  <w:r w:rsidRPr="001B5503">
              <w:rPr>
                <w:rFonts w:ascii="Times New Roman"/>
                <w:sz w:val="18"/>
              </w:rPr>
              <w:t>Diversity and Inclusion: 70% of search committee chairs satisfactorily complete supplemental training to maximize faculty/staff diversity.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25F" w:rsidRPr="001B5503" w:rsidRDefault="00BA5547" w:rsidP="0008725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  <w:r w:rsidR="0008725F" w:rsidRPr="001B5503">
              <w:rPr>
                <w:rFonts w:ascii="Times New Roman"/>
                <w:sz w:val="18"/>
              </w:rPr>
              <w:t>%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25F" w:rsidRDefault="0008725F" w:rsidP="0008725F">
            <w:pPr>
              <w:pStyle w:val="TableParagraph"/>
              <w:spacing w:line="243" w:lineRule="exact"/>
              <w:ind w:left="36"/>
              <w:rPr>
                <w:sz w:val="20"/>
              </w:rPr>
            </w:pPr>
            <w:r>
              <w:rPr>
                <w:sz w:val="20"/>
              </w:rPr>
              <w:t>5 = 90-100%</w:t>
            </w:r>
          </w:p>
          <w:p w:rsidR="0008725F" w:rsidRDefault="0008725F" w:rsidP="0008725F">
            <w:pPr>
              <w:pStyle w:val="TableParagraph"/>
              <w:spacing w:line="243" w:lineRule="exact"/>
              <w:ind w:left="36"/>
              <w:rPr>
                <w:sz w:val="20"/>
              </w:rPr>
            </w:pPr>
            <w:r>
              <w:rPr>
                <w:sz w:val="20"/>
              </w:rPr>
              <w:t>4 = 80 - 89%</w:t>
            </w:r>
          </w:p>
          <w:p w:rsidR="0008725F" w:rsidRDefault="0008725F" w:rsidP="0008725F">
            <w:pPr>
              <w:pStyle w:val="TableParagraph"/>
              <w:spacing w:line="243" w:lineRule="exact"/>
              <w:ind w:left="36"/>
              <w:rPr>
                <w:sz w:val="20"/>
              </w:rPr>
            </w:pPr>
            <w:r>
              <w:rPr>
                <w:sz w:val="20"/>
              </w:rPr>
              <w:t>3 = 70-79%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25F" w:rsidRPr="001B5503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  <w:r w:rsidRPr="001B5503">
              <w:rPr>
                <w:rFonts w:ascii="Times New Roman"/>
                <w:sz w:val="18"/>
              </w:rPr>
              <w:t>Measured June 2019</w:t>
            </w:r>
          </w:p>
        </w:tc>
      </w:tr>
      <w:tr w:rsidR="0008725F" w:rsidTr="00D14260">
        <w:trPr>
          <w:gridBefore w:val="1"/>
          <w:wBefore w:w="10" w:type="dxa"/>
          <w:trHeight w:val="270"/>
        </w:trPr>
        <w:tc>
          <w:tcPr>
            <w:tcW w:w="1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25F" w:rsidRPr="001B5503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  <w:r w:rsidRPr="001B5503">
              <w:rPr>
                <w:rFonts w:ascii="Times New Roman"/>
                <w:sz w:val="18"/>
              </w:rPr>
              <w:t>Note: The training partnership is a collaboration among AA, HR, and CDI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25F" w:rsidRDefault="0008725F" w:rsidP="0008725F">
            <w:pPr>
              <w:pStyle w:val="TableParagraph"/>
              <w:spacing w:line="243" w:lineRule="exact"/>
              <w:ind w:left="36"/>
              <w:rPr>
                <w:sz w:val="20"/>
              </w:rPr>
            </w:pPr>
            <w:r>
              <w:rPr>
                <w:sz w:val="20"/>
              </w:rPr>
              <w:t>2 = 60-69%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725F" w:rsidTr="00D14260">
        <w:trPr>
          <w:gridBefore w:val="1"/>
          <w:wBefore w:w="10" w:type="dxa"/>
          <w:trHeight w:val="270"/>
        </w:trPr>
        <w:tc>
          <w:tcPr>
            <w:tcW w:w="1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25F" w:rsidRDefault="0008725F" w:rsidP="0008725F">
            <w:pPr>
              <w:pStyle w:val="TableParagraph"/>
              <w:spacing w:line="243" w:lineRule="exact"/>
              <w:ind w:left="36"/>
              <w:rPr>
                <w:sz w:val="20"/>
              </w:rPr>
            </w:pPr>
            <w:r>
              <w:rPr>
                <w:sz w:val="20"/>
              </w:rPr>
              <w:t>1 = 59% or less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725F" w:rsidTr="00D14260">
        <w:trPr>
          <w:gridBefore w:val="1"/>
          <w:wBefore w:w="10" w:type="dxa"/>
          <w:trHeight w:val="270"/>
        </w:trPr>
        <w:tc>
          <w:tcPr>
            <w:tcW w:w="1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08725F" w:rsidRPr="001B5503" w:rsidRDefault="0008725F" w:rsidP="0008725F">
            <w:pPr>
              <w:pStyle w:val="TableParagraph"/>
              <w:spacing w:line="243" w:lineRule="exact"/>
              <w:ind w:left="36"/>
              <w:rPr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725F" w:rsidTr="00D14260">
        <w:trPr>
          <w:gridBefore w:val="1"/>
          <w:wBefore w:w="10" w:type="dxa"/>
          <w:trHeight w:val="270"/>
        </w:trPr>
        <w:tc>
          <w:tcPr>
            <w:tcW w:w="1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Pr="000D6D7E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5. </w:t>
            </w:r>
            <w:r w:rsidRPr="000D6D7E">
              <w:rPr>
                <w:rFonts w:ascii="Times New Roman"/>
                <w:sz w:val="18"/>
              </w:rPr>
              <w:t>Faculty and Staff Success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Pr="000D6D7E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  <w:r w:rsidRPr="000D6D7E">
              <w:rPr>
                <w:rFonts w:ascii="Times New Roman"/>
                <w:sz w:val="18"/>
              </w:rPr>
              <w:t>Research &amp; Sponsored Projects: Increase funding awards to over $23 M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Pr="000D6D7E" w:rsidRDefault="00BA5547" w:rsidP="0008725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</w:t>
            </w:r>
            <w:r w:rsidR="0008725F" w:rsidRPr="000D6D7E">
              <w:rPr>
                <w:rFonts w:ascii="Times New Roman"/>
                <w:sz w:val="18"/>
              </w:rPr>
              <w:t>%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spacing w:line="243" w:lineRule="exact"/>
              <w:ind w:left="36"/>
              <w:rPr>
                <w:sz w:val="20"/>
              </w:rPr>
            </w:pPr>
            <w:r>
              <w:rPr>
                <w:sz w:val="20"/>
              </w:rPr>
              <w:t>5 = $24M+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Pr="000D6D7E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725F" w:rsidTr="00D14260">
        <w:trPr>
          <w:gridBefore w:val="1"/>
          <w:wBefore w:w="10" w:type="dxa"/>
          <w:trHeight w:val="270"/>
        </w:trPr>
        <w:tc>
          <w:tcPr>
            <w:tcW w:w="1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Pr="000D6D7E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  <w:r w:rsidRPr="000D6D7E">
              <w:rPr>
                <w:rFonts w:ascii="Times New Roman"/>
                <w:sz w:val="18"/>
              </w:rPr>
              <w:t>FY18 total $22.636M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spacing w:line="243" w:lineRule="exact"/>
              <w:ind w:left="36"/>
              <w:rPr>
                <w:sz w:val="20"/>
              </w:rPr>
            </w:pPr>
            <w:r>
              <w:rPr>
                <w:sz w:val="20"/>
              </w:rPr>
              <w:t>4 = $23.6M - $24M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725F" w:rsidTr="00D14260">
        <w:trPr>
          <w:gridBefore w:val="1"/>
          <w:wBefore w:w="10" w:type="dxa"/>
          <w:trHeight w:val="270"/>
        </w:trPr>
        <w:tc>
          <w:tcPr>
            <w:tcW w:w="1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spacing w:line="243" w:lineRule="exact"/>
              <w:ind w:left="36"/>
              <w:rPr>
                <w:sz w:val="20"/>
              </w:rPr>
            </w:pPr>
            <w:r>
              <w:rPr>
                <w:sz w:val="20"/>
              </w:rPr>
              <w:t>3 = $23M - $23.5M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725F" w:rsidTr="00D14260">
        <w:trPr>
          <w:gridBefore w:val="1"/>
          <w:wBefore w:w="10" w:type="dxa"/>
          <w:trHeight w:val="270"/>
        </w:trPr>
        <w:tc>
          <w:tcPr>
            <w:tcW w:w="1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spacing w:line="243" w:lineRule="exact"/>
              <w:ind w:left="36"/>
              <w:rPr>
                <w:sz w:val="20"/>
              </w:rPr>
            </w:pPr>
            <w:r>
              <w:rPr>
                <w:sz w:val="20"/>
              </w:rPr>
              <w:t>2 = $22.5M - $22.99M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725F" w:rsidTr="00D14260">
        <w:trPr>
          <w:gridBefore w:val="1"/>
          <w:wBefore w:w="10" w:type="dxa"/>
          <w:trHeight w:val="270"/>
        </w:trPr>
        <w:tc>
          <w:tcPr>
            <w:tcW w:w="1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spacing w:line="243" w:lineRule="exact"/>
              <w:ind w:left="36"/>
              <w:rPr>
                <w:sz w:val="20"/>
              </w:rPr>
            </w:pPr>
            <w:r>
              <w:rPr>
                <w:sz w:val="20"/>
              </w:rPr>
              <w:t>1 = $22.4M and below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725F" w:rsidTr="00D14260">
        <w:trPr>
          <w:gridBefore w:val="1"/>
          <w:wBefore w:w="10" w:type="dxa"/>
          <w:trHeight w:val="270"/>
        </w:trPr>
        <w:tc>
          <w:tcPr>
            <w:tcW w:w="1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08725F" w:rsidRPr="000D6D7E" w:rsidRDefault="0008725F" w:rsidP="0008725F">
            <w:pPr>
              <w:pStyle w:val="TableParagraph"/>
              <w:spacing w:line="243" w:lineRule="exact"/>
              <w:ind w:left="36"/>
              <w:rPr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725F" w:rsidTr="00D14260">
        <w:trPr>
          <w:gridBefore w:val="1"/>
          <w:wBefore w:w="10" w:type="dxa"/>
          <w:trHeight w:val="270"/>
        </w:trPr>
        <w:tc>
          <w:tcPr>
            <w:tcW w:w="1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Pr="000D6D7E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6. </w:t>
            </w:r>
            <w:r w:rsidRPr="000D6D7E">
              <w:rPr>
                <w:rFonts w:ascii="Times New Roman"/>
                <w:sz w:val="18"/>
              </w:rPr>
              <w:t>Operational Success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Pr="000D6D7E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Professional </w:t>
            </w:r>
            <w:r w:rsidRPr="000D6D7E">
              <w:rPr>
                <w:rFonts w:ascii="Times New Roman"/>
                <w:sz w:val="18"/>
              </w:rPr>
              <w:t>Development: 80% of staff will participate in office related training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Pr="000D6D7E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Pr="000D6D7E">
              <w:rPr>
                <w:rFonts w:ascii="Times New Roman"/>
                <w:sz w:val="18"/>
              </w:rPr>
              <w:t>1</w:t>
            </w:r>
            <w:r w:rsidR="00BA5547">
              <w:rPr>
                <w:rFonts w:ascii="Times New Roman"/>
                <w:sz w:val="18"/>
              </w:rPr>
              <w:t>0</w:t>
            </w:r>
            <w:r w:rsidRPr="000D6D7E">
              <w:rPr>
                <w:rFonts w:ascii="Times New Roman"/>
                <w:sz w:val="18"/>
              </w:rPr>
              <w:t>%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spacing w:line="243" w:lineRule="exact"/>
              <w:ind w:left="36"/>
              <w:rPr>
                <w:sz w:val="20"/>
              </w:rPr>
            </w:pPr>
            <w:r>
              <w:rPr>
                <w:sz w:val="20"/>
              </w:rPr>
              <w:t>5 = 91-100%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Pr="000D6D7E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725F" w:rsidTr="00D14260">
        <w:trPr>
          <w:gridBefore w:val="1"/>
          <w:wBefore w:w="10" w:type="dxa"/>
          <w:trHeight w:val="270"/>
        </w:trPr>
        <w:tc>
          <w:tcPr>
            <w:tcW w:w="1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Pr="000D6D7E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  <w:r w:rsidRPr="000D6D7E">
              <w:rPr>
                <w:rFonts w:ascii="Times New Roman"/>
                <w:sz w:val="18"/>
              </w:rPr>
              <w:t>FY18 = 90%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spacing w:line="243" w:lineRule="exact"/>
              <w:ind w:left="36"/>
              <w:rPr>
                <w:sz w:val="20"/>
              </w:rPr>
            </w:pPr>
            <w:r>
              <w:rPr>
                <w:sz w:val="20"/>
              </w:rPr>
              <w:t>4 = 81-90%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725F" w:rsidTr="00D14260">
        <w:trPr>
          <w:gridBefore w:val="1"/>
          <w:wBefore w:w="10" w:type="dxa"/>
          <w:trHeight w:val="270"/>
        </w:trPr>
        <w:tc>
          <w:tcPr>
            <w:tcW w:w="1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spacing w:line="243" w:lineRule="exact"/>
              <w:ind w:left="36"/>
              <w:rPr>
                <w:sz w:val="20"/>
              </w:rPr>
            </w:pPr>
            <w:r>
              <w:rPr>
                <w:sz w:val="20"/>
              </w:rPr>
              <w:t>3 = 71-80%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725F" w:rsidTr="00D14260">
        <w:trPr>
          <w:gridBefore w:val="1"/>
          <w:wBefore w:w="10" w:type="dxa"/>
          <w:trHeight w:val="270"/>
        </w:trPr>
        <w:tc>
          <w:tcPr>
            <w:tcW w:w="1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spacing w:line="243" w:lineRule="exact"/>
              <w:ind w:left="36"/>
              <w:rPr>
                <w:sz w:val="20"/>
              </w:rPr>
            </w:pPr>
            <w:r>
              <w:rPr>
                <w:sz w:val="20"/>
              </w:rPr>
              <w:t>2 = 61-70%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725F" w:rsidTr="00D14260">
        <w:trPr>
          <w:gridBefore w:val="1"/>
          <w:wBefore w:w="10" w:type="dxa"/>
          <w:trHeight w:val="270"/>
        </w:trPr>
        <w:tc>
          <w:tcPr>
            <w:tcW w:w="1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spacing w:line="243" w:lineRule="exact"/>
              <w:ind w:left="36"/>
              <w:rPr>
                <w:sz w:val="20"/>
              </w:rPr>
            </w:pPr>
            <w:r>
              <w:rPr>
                <w:sz w:val="20"/>
              </w:rPr>
              <w:t>1 = 60% or fewer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725F" w:rsidTr="00D14260">
        <w:trPr>
          <w:gridBefore w:val="1"/>
          <w:wBefore w:w="10" w:type="dxa"/>
          <w:trHeight w:val="270"/>
        </w:trPr>
        <w:tc>
          <w:tcPr>
            <w:tcW w:w="1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08725F" w:rsidRPr="000D6D7E" w:rsidRDefault="0008725F" w:rsidP="0008725F">
            <w:pPr>
              <w:pStyle w:val="TableParagraph"/>
              <w:spacing w:line="243" w:lineRule="exact"/>
              <w:ind w:left="36"/>
              <w:rPr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725F" w:rsidTr="00D14260">
        <w:trPr>
          <w:gridBefore w:val="1"/>
          <w:wBefore w:w="10" w:type="dxa"/>
          <w:trHeight w:val="270"/>
        </w:trPr>
        <w:tc>
          <w:tcPr>
            <w:tcW w:w="1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08725F" w:rsidRPr="000D6D7E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  <w:r w:rsidRPr="000D6D7E">
              <w:rPr>
                <w:rFonts w:ascii="Times New Roman"/>
                <w:sz w:val="18"/>
              </w:rPr>
              <w:t>100%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08725F" w:rsidRPr="000D6D7E" w:rsidRDefault="0008725F" w:rsidP="0008725F">
            <w:pPr>
              <w:pStyle w:val="TableParagraph"/>
              <w:spacing w:line="243" w:lineRule="exact"/>
              <w:ind w:left="36"/>
              <w:rPr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725F" w:rsidTr="0008725F">
        <w:trPr>
          <w:gridBefore w:val="2"/>
          <w:gridAfter w:val="1"/>
          <w:wBefore w:w="137" w:type="dxa"/>
          <w:wAfter w:w="22" w:type="dxa"/>
          <w:trHeight w:val="373"/>
        </w:trPr>
        <w:tc>
          <w:tcPr>
            <w:tcW w:w="10680" w:type="dxa"/>
            <w:gridSpan w:val="10"/>
            <w:tcBorders>
              <w:left w:val="nil"/>
              <w:bottom w:val="nil"/>
            </w:tcBorders>
          </w:tcPr>
          <w:p w:rsidR="0008725F" w:rsidRDefault="0008725F" w:rsidP="0008725F">
            <w:pPr>
              <w:pStyle w:val="TableParagraph"/>
              <w:spacing w:line="243" w:lineRule="exact"/>
              <w:ind w:right="14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8725F" w:rsidRPr="000D6D7E" w:rsidRDefault="0008725F" w:rsidP="0008725F">
            <w:pPr>
              <w:pStyle w:val="TableParagraph"/>
              <w:spacing w:line="243" w:lineRule="exact"/>
              <w:ind w:right="14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0D6D7E">
              <w:rPr>
                <w:sz w:val="24"/>
                <w:szCs w:val="24"/>
              </w:rPr>
              <w:t>FY</w:t>
            </w:r>
            <w:r w:rsidRPr="000D6D7E">
              <w:rPr>
                <w:sz w:val="24"/>
                <w:szCs w:val="24"/>
              </w:rPr>
              <w:t xml:space="preserve"> 2020</w:t>
            </w:r>
            <w:r w:rsidRPr="000D6D7E">
              <w:rPr>
                <w:sz w:val="24"/>
                <w:szCs w:val="24"/>
              </w:rPr>
              <w:t xml:space="preserve"> Score Final</w:t>
            </w:r>
          </w:p>
        </w:tc>
        <w:tc>
          <w:tcPr>
            <w:tcW w:w="1322" w:type="dxa"/>
            <w:gridSpan w:val="2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  <w:gridSpan w:val="3"/>
          </w:tcPr>
          <w:p w:rsidR="0008725F" w:rsidRDefault="0008725F" w:rsidP="000872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663D" w:rsidRDefault="00B9663D">
      <w:pPr>
        <w:rPr>
          <w:rFonts w:ascii="Times New Roman"/>
          <w:sz w:val="18"/>
        </w:rPr>
        <w:sectPr w:rsidR="00B9663D">
          <w:type w:val="continuous"/>
          <w:pgSz w:w="15840" w:h="12240" w:orient="landscape"/>
          <w:pgMar w:top="1060" w:right="1520" w:bottom="280" w:left="900" w:header="720" w:footer="720" w:gutter="0"/>
          <w:cols w:space="720"/>
        </w:sectPr>
      </w:pPr>
    </w:p>
    <w:p w:rsidR="00B9663D" w:rsidRDefault="00B9663D">
      <w:pPr>
        <w:rPr>
          <w:rFonts w:ascii="Times New Roman"/>
          <w:sz w:val="18"/>
        </w:rPr>
        <w:sectPr w:rsidR="00B9663D">
          <w:pgSz w:w="15840" w:h="12240" w:orient="landscape"/>
          <w:pgMar w:top="1060" w:right="1520" w:bottom="280" w:left="900" w:header="720" w:footer="720" w:gutter="0"/>
          <w:cols w:space="720"/>
        </w:sectPr>
      </w:pPr>
    </w:p>
    <w:p w:rsidR="00B9663D" w:rsidRDefault="00B9663D">
      <w:pPr>
        <w:rPr>
          <w:rFonts w:ascii="Times New Roman"/>
          <w:sz w:val="18"/>
        </w:rPr>
        <w:sectPr w:rsidR="00B9663D">
          <w:pgSz w:w="15840" w:h="12240" w:orient="landscape"/>
          <w:pgMar w:top="1060" w:right="1520" w:bottom="280" w:left="900" w:header="720" w:footer="720" w:gutter="0"/>
          <w:cols w:space="720"/>
        </w:sectPr>
      </w:pPr>
    </w:p>
    <w:p w:rsidR="009F2564" w:rsidRDefault="009F2564" w:rsidP="00D14260"/>
    <w:sectPr w:rsidR="009F2564">
      <w:pgSz w:w="15840" w:h="12240" w:orient="landscape"/>
      <w:pgMar w:top="1060" w:right="15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3D"/>
    <w:rsid w:val="0008725F"/>
    <w:rsid w:val="000D6D7E"/>
    <w:rsid w:val="001B5503"/>
    <w:rsid w:val="002E4D77"/>
    <w:rsid w:val="003802E3"/>
    <w:rsid w:val="009C7F63"/>
    <w:rsid w:val="009F2564"/>
    <w:rsid w:val="00B9663D"/>
    <w:rsid w:val="00BA5547"/>
    <w:rsid w:val="00C133E8"/>
    <w:rsid w:val="00D14260"/>
    <w:rsid w:val="00D5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0BDE89-AA9F-48DC-A742-A8B40479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Myrna Gantner</dc:creator>
  <cp:lastModifiedBy>Donna Brooks</cp:lastModifiedBy>
  <cp:revision>4</cp:revision>
  <dcterms:created xsi:type="dcterms:W3CDTF">2019-03-29T18:25:00Z</dcterms:created>
  <dcterms:modified xsi:type="dcterms:W3CDTF">2019-03-29T19:53:00Z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Acrobat PDFMaker 18 for Excel</vt:lpwstr>
  </property>
  <property fmtid="{D5CDD505-2E9C-101B-9397-08002B2CF9AE}" pid="4" name="LastSaved">
    <vt:filetime>2019-03-29T00:00:00Z</vt:filetime>
  </property>
</Properties>
</file>