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2" w:rsidRDefault="002802C9" w:rsidP="004E34B2">
      <w:pPr>
        <w:tabs>
          <w:tab w:val="center" w:pos="4680"/>
        </w:tabs>
        <w:suppressAutoHyphens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Georgia Tech Research Corporation</w:t>
      </w:r>
      <w:r w:rsidR="004E34B2">
        <w:rPr>
          <w:b/>
          <w:sz w:val="22"/>
          <w:szCs w:val="22"/>
          <w:u w:val="single"/>
        </w:rPr>
        <w:t xml:space="preserve"> - </w:t>
      </w:r>
      <w:r w:rsidR="004E34B2" w:rsidRPr="00AF03E1">
        <w:rPr>
          <w:b/>
          <w:sz w:val="22"/>
          <w:szCs w:val="22"/>
          <w:u w:val="single"/>
        </w:rPr>
        <w:t>Industry Collaborations and Affiliated Licenses</w:t>
      </w:r>
      <w:r w:rsidR="004E34B2" w:rsidRPr="00AF03E1">
        <w:rPr>
          <w:b/>
          <w:sz w:val="22"/>
          <w:szCs w:val="22"/>
        </w:rPr>
        <w:t xml:space="preserve"> </w:t>
      </w:r>
    </w:p>
    <w:p w:rsidR="002802C9" w:rsidRDefault="002802C9" w:rsidP="002802C9">
      <w:pPr>
        <w:rPr>
          <w:sz w:val="22"/>
          <w:szCs w:val="22"/>
        </w:rPr>
      </w:pPr>
      <w:r>
        <w:rPr>
          <w:b/>
          <w:sz w:val="22"/>
          <w:szCs w:val="22"/>
        </w:rPr>
        <w:t>Research Associate I (</w:t>
      </w:r>
      <w:r w:rsidRPr="00AF03E1">
        <w:rPr>
          <w:sz w:val="22"/>
          <w:szCs w:val="22"/>
        </w:rPr>
        <w:t>Contract</w:t>
      </w:r>
      <w:r w:rsidR="004E34B2">
        <w:rPr>
          <w:sz w:val="22"/>
          <w:szCs w:val="22"/>
        </w:rPr>
        <w:t>ing Officer</w:t>
      </w:r>
      <w:r>
        <w:rPr>
          <w:sz w:val="22"/>
          <w:szCs w:val="22"/>
        </w:rPr>
        <w:t xml:space="preserve">) 2 </w:t>
      </w:r>
      <w:r w:rsidRPr="002802C9">
        <w:rPr>
          <w:sz w:val="22"/>
          <w:szCs w:val="22"/>
        </w:rPr>
        <w:t>openings # 23707 and 23708</w:t>
      </w:r>
    </w:p>
    <w:p w:rsidR="004E34B2" w:rsidRDefault="004E34B2" w:rsidP="002802C9">
      <w:pPr>
        <w:rPr>
          <w:sz w:val="22"/>
          <w:szCs w:val="22"/>
        </w:rPr>
      </w:pPr>
    </w:p>
    <w:p w:rsidR="00231F06" w:rsidRDefault="004E34B2" w:rsidP="002802C9">
      <w:pPr>
        <w:rPr>
          <w:sz w:val="22"/>
          <w:szCs w:val="22"/>
        </w:rPr>
      </w:pPr>
      <w:r>
        <w:rPr>
          <w:sz w:val="22"/>
          <w:szCs w:val="22"/>
        </w:rPr>
        <w:t xml:space="preserve">Submit resume and cover letter to: Terry Stout, Director, </w:t>
      </w:r>
      <w:hyperlink r:id="rId5" w:history="1">
        <w:r w:rsidR="00231F06" w:rsidRPr="00A104FE">
          <w:rPr>
            <w:rStyle w:val="Hyperlink"/>
            <w:sz w:val="22"/>
            <w:szCs w:val="22"/>
          </w:rPr>
          <w:t>terry.stout@gtrc.gatech.edu</w:t>
        </w:r>
      </w:hyperlink>
      <w:r w:rsidR="00231F06">
        <w:rPr>
          <w:sz w:val="22"/>
          <w:szCs w:val="22"/>
        </w:rPr>
        <w:t>, or go to:</w:t>
      </w:r>
    </w:p>
    <w:p w:rsidR="004E34B2" w:rsidRDefault="004E34B2" w:rsidP="002802C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hyperlink r:id="rId6" w:history="1">
        <w:r w:rsidRPr="0078207F">
          <w:rPr>
            <w:rStyle w:val="Hyperlink"/>
            <w:sz w:val="22"/>
            <w:szCs w:val="22"/>
          </w:rPr>
          <w:t>http://careers.gatech.edu/career-paths/research-oppotunities-taleo</w:t>
        </w:r>
      </w:hyperlink>
      <w:r>
        <w:rPr>
          <w:sz w:val="22"/>
          <w:szCs w:val="22"/>
        </w:rPr>
        <w:t xml:space="preserve">,  </w:t>
      </w:r>
    </w:p>
    <w:p w:rsidR="002802C9" w:rsidRDefault="002802C9" w:rsidP="002802C9"/>
    <w:p w:rsidR="00756643" w:rsidRPr="002802C9" w:rsidRDefault="00A66278" w:rsidP="002802C9">
      <w:r w:rsidRPr="00AF03E1">
        <w:rPr>
          <w:sz w:val="22"/>
          <w:szCs w:val="22"/>
        </w:rPr>
        <w:t xml:space="preserve">The Industry Collaborations and Affiliated Licenses </w:t>
      </w:r>
      <w:r w:rsidR="00756643" w:rsidRPr="00AF03E1">
        <w:rPr>
          <w:sz w:val="22"/>
          <w:szCs w:val="22"/>
        </w:rPr>
        <w:t>Office</w:t>
      </w:r>
      <w:r w:rsidR="00C827DA" w:rsidRPr="00AF03E1">
        <w:rPr>
          <w:sz w:val="22"/>
          <w:szCs w:val="22"/>
        </w:rPr>
        <w:t xml:space="preserve"> </w:t>
      </w:r>
      <w:proofErr w:type="gramStart"/>
      <w:r w:rsidRPr="00AF03E1">
        <w:rPr>
          <w:sz w:val="22"/>
          <w:szCs w:val="22"/>
        </w:rPr>
        <w:t>is</w:t>
      </w:r>
      <w:proofErr w:type="gramEnd"/>
      <w:r w:rsidRPr="00AF03E1">
        <w:rPr>
          <w:sz w:val="22"/>
          <w:szCs w:val="22"/>
        </w:rPr>
        <w:t xml:space="preserve"> responsible for the preparation, negotiation and execution of contracts and license agreements associate with the research activities sponsored by industrial sponsors.</w:t>
      </w:r>
      <w:r w:rsidR="00C827DA" w:rsidRPr="00AF03E1">
        <w:rPr>
          <w:sz w:val="22"/>
          <w:szCs w:val="22"/>
        </w:rPr>
        <w:t xml:space="preserve"> </w:t>
      </w:r>
    </w:p>
    <w:p w:rsidR="00756643" w:rsidRPr="00AF03E1" w:rsidRDefault="00C827DA">
      <w:pPr>
        <w:tabs>
          <w:tab w:val="center" w:pos="4680"/>
        </w:tabs>
        <w:suppressAutoHyphens/>
        <w:spacing w:before="100" w:beforeAutospacing="1" w:after="100" w:afterAutospacing="1"/>
        <w:rPr>
          <w:sz w:val="22"/>
          <w:szCs w:val="22"/>
        </w:rPr>
      </w:pPr>
      <w:r w:rsidRPr="00AF03E1">
        <w:rPr>
          <w:sz w:val="22"/>
          <w:szCs w:val="22"/>
        </w:rPr>
        <w:t xml:space="preserve">This position holds primary responsibility assuring that research performed at </w:t>
      </w:r>
      <w:r w:rsidR="00756643" w:rsidRPr="00AF03E1">
        <w:rPr>
          <w:sz w:val="22"/>
          <w:szCs w:val="22"/>
        </w:rPr>
        <w:t>Georgia Tech</w:t>
      </w:r>
      <w:r w:rsidRPr="00AF03E1">
        <w:rPr>
          <w:sz w:val="22"/>
          <w:szCs w:val="22"/>
        </w:rPr>
        <w:t xml:space="preserve"> for industrial sponsors meets all university, local, and federal guidelines, rules, policies, and laws.  </w:t>
      </w:r>
    </w:p>
    <w:p w:rsidR="00756643" w:rsidRPr="00AF03E1" w:rsidRDefault="00C827DA">
      <w:pPr>
        <w:tabs>
          <w:tab w:val="center" w:pos="4680"/>
        </w:tabs>
        <w:suppressAutoHyphens/>
        <w:spacing w:before="100" w:beforeAutospacing="1" w:after="100" w:afterAutospacing="1"/>
        <w:rPr>
          <w:sz w:val="22"/>
          <w:szCs w:val="22"/>
        </w:rPr>
      </w:pPr>
      <w:r w:rsidRPr="00AF03E1">
        <w:rPr>
          <w:sz w:val="22"/>
          <w:szCs w:val="22"/>
        </w:rPr>
        <w:t>The pos</w:t>
      </w:r>
      <w:r w:rsidR="00A66278" w:rsidRPr="00AF03E1">
        <w:rPr>
          <w:sz w:val="22"/>
          <w:szCs w:val="22"/>
        </w:rPr>
        <w:t xml:space="preserve">ition </w:t>
      </w:r>
      <w:r w:rsidR="00476DB1" w:rsidRPr="00AF03E1">
        <w:rPr>
          <w:sz w:val="22"/>
          <w:szCs w:val="22"/>
        </w:rPr>
        <w:t xml:space="preserve">prepares and </w:t>
      </w:r>
      <w:r w:rsidRPr="00AF03E1">
        <w:rPr>
          <w:sz w:val="22"/>
          <w:szCs w:val="22"/>
        </w:rPr>
        <w:t xml:space="preserve">negotiates all </w:t>
      </w:r>
      <w:r w:rsidR="00476DB1" w:rsidRPr="00AF03E1">
        <w:rPr>
          <w:sz w:val="22"/>
          <w:szCs w:val="22"/>
        </w:rPr>
        <w:t xml:space="preserve">types of </w:t>
      </w:r>
      <w:r w:rsidRPr="00AF03E1">
        <w:rPr>
          <w:sz w:val="22"/>
          <w:szCs w:val="22"/>
        </w:rPr>
        <w:t>research</w:t>
      </w:r>
      <w:r w:rsidR="00476DB1" w:rsidRPr="00AF03E1">
        <w:rPr>
          <w:sz w:val="22"/>
          <w:szCs w:val="22"/>
        </w:rPr>
        <w:t xml:space="preserve">, collaboration, </w:t>
      </w:r>
      <w:r w:rsidR="00A66278" w:rsidRPr="00AF03E1">
        <w:rPr>
          <w:sz w:val="22"/>
          <w:szCs w:val="22"/>
        </w:rPr>
        <w:t xml:space="preserve">license, </w:t>
      </w:r>
      <w:r w:rsidR="00476DB1" w:rsidRPr="00AF03E1">
        <w:rPr>
          <w:sz w:val="22"/>
          <w:szCs w:val="22"/>
        </w:rPr>
        <w:t>non-disclosure, material transfer, and teaming</w:t>
      </w:r>
      <w:r w:rsidRPr="00AF03E1">
        <w:rPr>
          <w:sz w:val="22"/>
          <w:szCs w:val="22"/>
        </w:rPr>
        <w:t xml:space="preserve"> agreements with industry sponsors.  </w:t>
      </w:r>
    </w:p>
    <w:p w:rsidR="00A66278" w:rsidRPr="00AF03E1" w:rsidRDefault="00C827DA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color w:val="000000"/>
          <w:sz w:val="22"/>
          <w:szCs w:val="22"/>
        </w:rPr>
        <w:t>Negotiat</w:t>
      </w:r>
      <w:r w:rsidR="00A66278" w:rsidRPr="00AF03E1">
        <w:rPr>
          <w:color w:val="000000"/>
          <w:sz w:val="22"/>
          <w:szCs w:val="22"/>
        </w:rPr>
        <w:t>es</w:t>
      </w:r>
      <w:r w:rsidRPr="00AF03E1">
        <w:rPr>
          <w:sz w:val="22"/>
          <w:szCs w:val="22"/>
        </w:rPr>
        <w:t xml:space="preserve"> unusual or difficult agreement language with industry</w:t>
      </w:r>
      <w:r w:rsidR="00AF03E1">
        <w:rPr>
          <w:sz w:val="22"/>
          <w:szCs w:val="22"/>
        </w:rPr>
        <w:t xml:space="preserve"> sponsors</w:t>
      </w:r>
      <w:r w:rsidRPr="00AF03E1">
        <w:rPr>
          <w:sz w:val="22"/>
          <w:szCs w:val="22"/>
        </w:rPr>
        <w:t>;</w:t>
      </w:r>
      <w:r w:rsidRPr="00AF03E1">
        <w:rPr>
          <w:rFonts w:eastAsia="Wingdings"/>
          <w:sz w:val="22"/>
          <w:szCs w:val="22"/>
        </w:rPr>
        <w:t xml:space="preserve">  </w:t>
      </w:r>
    </w:p>
    <w:p w:rsidR="00A66278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color w:val="000000"/>
          <w:sz w:val="22"/>
          <w:szCs w:val="22"/>
        </w:rPr>
      </w:pPr>
      <w:r w:rsidRPr="00AF03E1">
        <w:rPr>
          <w:sz w:val="22"/>
          <w:szCs w:val="22"/>
        </w:rPr>
        <w:t>Interprets</w:t>
      </w:r>
      <w:r w:rsidR="00C827DA" w:rsidRPr="00AF03E1">
        <w:rPr>
          <w:sz w:val="22"/>
          <w:szCs w:val="22"/>
        </w:rPr>
        <w:t xml:space="preserve"> federal regulations concerning industry funding </w:t>
      </w:r>
      <w:r w:rsidR="00C827DA" w:rsidRPr="00AF03E1">
        <w:rPr>
          <w:color w:val="000000"/>
          <w:sz w:val="22"/>
          <w:szCs w:val="22"/>
        </w:rPr>
        <w:t xml:space="preserve">and </w:t>
      </w:r>
      <w:r w:rsidR="00756643" w:rsidRPr="00AF03E1">
        <w:rPr>
          <w:color w:val="000000"/>
          <w:sz w:val="22"/>
          <w:szCs w:val="22"/>
        </w:rPr>
        <w:t>assuring that all</w:t>
      </w:r>
      <w:r w:rsidR="00C827DA" w:rsidRPr="00AF03E1">
        <w:rPr>
          <w:color w:val="000000"/>
          <w:sz w:val="22"/>
          <w:szCs w:val="22"/>
        </w:rPr>
        <w:t xml:space="preserve"> contracts are in compliance with the appropriate regulations; </w:t>
      </w:r>
    </w:p>
    <w:p w:rsidR="00AF03E1" w:rsidRDefault="00AF03E1">
      <w:pPr>
        <w:tabs>
          <w:tab w:val="center" w:pos="4680"/>
        </w:tabs>
        <w:suppressAutoHyphens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Serves as a resource to faculty and staff concerning new and on-going industry sponsored research projects;</w:t>
      </w:r>
    </w:p>
    <w:p w:rsidR="00756643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color w:val="000000"/>
          <w:sz w:val="22"/>
          <w:szCs w:val="22"/>
        </w:rPr>
        <w:t>Serves as a liaison to outside companies that sponsor research at Georgia Tech;</w:t>
      </w:r>
      <w:r w:rsidR="00C827DA" w:rsidRPr="00AF03E1">
        <w:rPr>
          <w:rFonts w:eastAsia="Wingdings"/>
          <w:sz w:val="22"/>
          <w:szCs w:val="22"/>
        </w:rPr>
        <w:t> </w:t>
      </w:r>
    </w:p>
    <w:p w:rsidR="00476DB1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rFonts w:eastAsia="Wingdings"/>
          <w:sz w:val="22"/>
          <w:szCs w:val="22"/>
        </w:rPr>
        <w:t>Reviews</w:t>
      </w:r>
      <w:r w:rsidR="00476DB1" w:rsidRPr="00AF03E1">
        <w:rPr>
          <w:rFonts w:eastAsia="Wingdings"/>
          <w:sz w:val="22"/>
          <w:szCs w:val="22"/>
        </w:rPr>
        <w:t xml:space="preserve">, </w:t>
      </w:r>
      <w:r w:rsidRPr="00AF03E1">
        <w:rPr>
          <w:rFonts w:eastAsia="Wingdings"/>
          <w:sz w:val="22"/>
          <w:szCs w:val="22"/>
        </w:rPr>
        <w:t>prepares and executes</w:t>
      </w:r>
      <w:r w:rsidR="00476DB1" w:rsidRPr="00AF03E1">
        <w:rPr>
          <w:rFonts w:eastAsia="Wingdings"/>
          <w:sz w:val="22"/>
          <w:szCs w:val="22"/>
        </w:rPr>
        <w:t xml:space="preserve"> documents associated with SBIR/STTR funding requests</w:t>
      </w:r>
      <w:r w:rsidR="00476DB1" w:rsidRPr="00AF03E1">
        <w:rPr>
          <w:sz w:val="22"/>
          <w:szCs w:val="22"/>
        </w:rPr>
        <w:t>;</w:t>
      </w:r>
    </w:p>
    <w:p w:rsidR="00756643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sz w:val="22"/>
          <w:szCs w:val="22"/>
        </w:rPr>
        <w:t>Monitors</w:t>
      </w:r>
      <w:r w:rsidR="00C827DA" w:rsidRPr="00AF03E1">
        <w:rPr>
          <w:sz w:val="22"/>
          <w:szCs w:val="22"/>
        </w:rPr>
        <w:t xml:space="preserve"> institutional review of human subjects and animal use in industry research to ensure compliance;</w:t>
      </w:r>
      <w:r w:rsidR="00C827DA" w:rsidRPr="00AF03E1">
        <w:rPr>
          <w:rFonts w:eastAsia="Wingdings"/>
          <w:sz w:val="22"/>
          <w:szCs w:val="22"/>
        </w:rPr>
        <w:t> </w:t>
      </w:r>
    </w:p>
    <w:p w:rsidR="00476DB1" w:rsidRPr="00AF03E1" w:rsidRDefault="00476DB1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sz w:val="22"/>
          <w:szCs w:val="22"/>
        </w:rPr>
        <w:t>Pro</w:t>
      </w:r>
      <w:r w:rsidR="00A66278" w:rsidRPr="00AF03E1">
        <w:rPr>
          <w:sz w:val="22"/>
          <w:szCs w:val="22"/>
        </w:rPr>
        <w:t>vides</w:t>
      </w:r>
      <w:r w:rsidRPr="00AF03E1">
        <w:rPr>
          <w:sz w:val="22"/>
          <w:szCs w:val="22"/>
        </w:rPr>
        <w:t xml:space="preserve"> direction on disclosure of conflicts of interest</w:t>
      </w:r>
      <w:r w:rsidR="00C827DA" w:rsidRPr="00AF03E1">
        <w:rPr>
          <w:sz w:val="22"/>
          <w:szCs w:val="22"/>
        </w:rPr>
        <w:t xml:space="preserve"> to research faculty;</w:t>
      </w:r>
      <w:r w:rsidR="00C827DA" w:rsidRPr="00AF03E1">
        <w:rPr>
          <w:rFonts w:eastAsia="Wingdings"/>
          <w:sz w:val="22"/>
          <w:szCs w:val="22"/>
        </w:rPr>
        <w:t> </w:t>
      </w:r>
    </w:p>
    <w:p w:rsidR="00756643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sz w:val="22"/>
          <w:szCs w:val="22"/>
        </w:rPr>
      </w:pPr>
      <w:r w:rsidRPr="00AF03E1">
        <w:rPr>
          <w:sz w:val="22"/>
          <w:szCs w:val="22"/>
        </w:rPr>
        <w:t>Assists</w:t>
      </w:r>
      <w:r w:rsidR="00C827DA" w:rsidRPr="00AF03E1">
        <w:rPr>
          <w:sz w:val="22"/>
          <w:szCs w:val="22"/>
        </w:rPr>
        <w:t xml:space="preserve"> with post-award problems that arise with re-budgeting, time extensions, compliance with regulations, supplements, </w:t>
      </w:r>
      <w:proofErr w:type="spellStart"/>
      <w:r w:rsidR="00C827DA" w:rsidRPr="00AF03E1">
        <w:rPr>
          <w:sz w:val="22"/>
          <w:szCs w:val="22"/>
        </w:rPr>
        <w:t>etc</w:t>
      </w:r>
      <w:proofErr w:type="spellEnd"/>
      <w:r w:rsidR="00C827DA" w:rsidRPr="00AF03E1">
        <w:rPr>
          <w:sz w:val="22"/>
          <w:szCs w:val="22"/>
        </w:rPr>
        <w:t>; </w:t>
      </w:r>
      <w:r w:rsidR="00C827DA" w:rsidRPr="00AF03E1">
        <w:rPr>
          <w:rFonts w:eastAsia="Wingdings"/>
          <w:sz w:val="22"/>
          <w:szCs w:val="22"/>
        </w:rPr>
        <w:t xml:space="preserve">   </w:t>
      </w:r>
    </w:p>
    <w:p w:rsidR="00756643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sz w:val="22"/>
          <w:szCs w:val="22"/>
        </w:rPr>
        <w:t>Educates</w:t>
      </w:r>
      <w:r w:rsidR="00C827DA" w:rsidRPr="00AF03E1">
        <w:rPr>
          <w:sz w:val="22"/>
          <w:szCs w:val="22"/>
        </w:rPr>
        <w:t xml:space="preserve"> faculty, staff, and students on opportunities for industry funding, and </w:t>
      </w:r>
      <w:r w:rsidR="00756643" w:rsidRPr="00AF03E1">
        <w:rPr>
          <w:sz w:val="22"/>
          <w:szCs w:val="22"/>
        </w:rPr>
        <w:t>Georgia Tech</w:t>
      </w:r>
      <w:r w:rsidR="00476DB1" w:rsidRPr="00AF03E1">
        <w:rPr>
          <w:sz w:val="22"/>
          <w:szCs w:val="22"/>
        </w:rPr>
        <w:t xml:space="preserve"> </w:t>
      </w:r>
      <w:r w:rsidR="00C827DA" w:rsidRPr="00AF03E1">
        <w:rPr>
          <w:sz w:val="22"/>
          <w:szCs w:val="22"/>
        </w:rPr>
        <w:t>policies and processes regarding industrial funding, for both basic and clinical research;</w:t>
      </w:r>
      <w:r w:rsidR="00C827DA" w:rsidRPr="00AF03E1">
        <w:rPr>
          <w:rFonts w:eastAsia="Wingdings"/>
          <w:sz w:val="22"/>
          <w:szCs w:val="22"/>
        </w:rPr>
        <w:t xml:space="preserve">  </w:t>
      </w:r>
    </w:p>
    <w:p w:rsidR="00756643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sz w:val="22"/>
          <w:szCs w:val="22"/>
        </w:rPr>
        <w:t>Maintains</w:t>
      </w:r>
      <w:r w:rsidR="00C827DA" w:rsidRPr="00AF03E1">
        <w:rPr>
          <w:sz w:val="22"/>
          <w:szCs w:val="22"/>
        </w:rPr>
        <w:t xml:space="preserve"> a database of updated information on </w:t>
      </w:r>
      <w:r w:rsidR="00476DB1" w:rsidRPr="00AF03E1">
        <w:rPr>
          <w:sz w:val="22"/>
          <w:szCs w:val="22"/>
        </w:rPr>
        <w:t xml:space="preserve">new proposals, awards and </w:t>
      </w:r>
      <w:r w:rsidR="00C827DA" w:rsidRPr="00AF03E1">
        <w:rPr>
          <w:sz w:val="22"/>
          <w:szCs w:val="22"/>
        </w:rPr>
        <w:t>prospective research sponsors;</w:t>
      </w:r>
      <w:r w:rsidR="00C827DA" w:rsidRPr="00AF03E1">
        <w:rPr>
          <w:rFonts w:eastAsia="Wingdings"/>
          <w:sz w:val="22"/>
          <w:szCs w:val="22"/>
        </w:rPr>
        <w:t xml:space="preserve">    </w:t>
      </w:r>
    </w:p>
    <w:p w:rsidR="00756643" w:rsidRPr="00AF03E1" w:rsidRDefault="00756643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sz w:val="22"/>
          <w:szCs w:val="22"/>
        </w:rPr>
        <w:t>Assist</w:t>
      </w:r>
      <w:r w:rsidR="00A66278" w:rsidRPr="00AF03E1">
        <w:rPr>
          <w:sz w:val="22"/>
          <w:szCs w:val="22"/>
        </w:rPr>
        <w:t>s</w:t>
      </w:r>
      <w:r w:rsidRPr="00AF03E1">
        <w:rPr>
          <w:sz w:val="22"/>
          <w:szCs w:val="22"/>
        </w:rPr>
        <w:t xml:space="preserve"> Director</w:t>
      </w:r>
      <w:r w:rsidR="00C827DA" w:rsidRPr="00AF03E1">
        <w:rPr>
          <w:sz w:val="22"/>
          <w:szCs w:val="22"/>
        </w:rPr>
        <w:t xml:space="preserve"> in developing and implementing administrative policies and procedures necessary for the efficient and effective</w:t>
      </w:r>
      <w:r w:rsidR="00476DB1" w:rsidRPr="00AF03E1">
        <w:rPr>
          <w:sz w:val="22"/>
          <w:szCs w:val="22"/>
        </w:rPr>
        <w:t xml:space="preserve"> operation of the Industry Collaborations Office</w:t>
      </w:r>
      <w:r w:rsidR="00C827DA" w:rsidRPr="00AF03E1">
        <w:rPr>
          <w:sz w:val="22"/>
          <w:szCs w:val="22"/>
        </w:rPr>
        <w:t>;</w:t>
      </w:r>
      <w:r w:rsidR="00C827DA" w:rsidRPr="00AF03E1">
        <w:rPr>
          <w:rFonts w:eastAsia="Wingdings"/>
          <w:sz w:val="22"/>
          <w:szCs w:val="22"/>
        </w:rPr>
        <w:t xml:space="preserve">   </w:t>
      </w:r>
    </w:p>
    <w:p w:rsidR="00756643" w:rsidRPr="00AF03E1" w:rsidRDefault="00A66278">
      <w:pPr>
        <w:tabs>
          <w:tab w:val="center" w:pos="4680"/>
        </w:tabs>
        <w:suppressAutoHyphens/>
        <w:spacing w:before="100" w:beforeAutospacing="1" w:after="100" w:afterAutospacing="1"/>
        <w:rPr>
          <w:rFonts w:eastAsia="Wingdings"/>
          <w:sz w:val="22"/>
          <w:szCs w:val="22"/>
        </w:rPr>
      </w:pPr>
      <w:r w:rsidRPr="00AF03E1">
        <w:rPr>
          <w:sz w:val="22"/>
          <w:szCs w:val="22"/>
        </w:rPr>
        <w:t>Maintains</w:t>
      </w:r>
      <w:r w:rsidR="00C827DA" w:rsidRPr="00AF03E1">
        <w:rPr>
          <w:sz w:val="22"/>
          <w:szCs w:val="22"/>
        </w:rPr>
        <w:t xml:space="preserve"> knowledge of relevant statutes and regulation</w:t>
      </w:r>
      <w:r w:rsidR="00756643" w:rsidRPr="00AF03E1">
        <w:rPr>
          <w:sz w:val="22"/>
          <w:szCs w:val="22"/>
        </w:rPr>
        <w:t>s of the State of Georgia</w:t>
      </w:r>
      <w:r w:rsidR="00C827DA" w:rsidRPr="00AF03E1">
        <w:rPr>
          <w:sz w:val="22"/>
          <w:szCs w:val="22"/>
        </w:rPr>
        <w:t xml:space="preserve"> and of the United States, </w:t>
      </w:r>
      <w:r w:rsidR="00756643" w:rsidRPr="00AF03E1">
        <w:rPr>
          <w:sz w:val="22"/>
          <w:szCs w:val="22"/>
        </w:rPr>
        <w:t>Georgia Institute of Technology</w:t>
      </w:r>
      <w:r w:rsidRPr="00AF03E1">
        <w:rPr>
          <w:sz w:val="22"/>
          <w:szCs w:val="22"/>
        </w:rPr>
        <w:t xml:space="preserve"> Faculty and Staff </w:t>
      </w:r>
      <w:r w:rsidR="00756643" w:rsidRPr="00AF03E1">
        <w:rPr>
          <w:sz w:val="22"/>
          <w:szCs w:val="22"/>
        </w:rPr>
        <w:t>Handbook, and the</w:t>
      </w:r>
      <w:r w:rsidRPr="00AF03E1">
        <w:rPr>
          <w:sz w:val="22"/>
          <w:szCs w:val="22"/>
        </w:rPr>
        <w:t xml:space="preserve"> GT</w:t>
      </w:r>
      <w:r w:rsidR="00756643" w:rsidRPr="00AF03E1">
        <w:rPr>
          <w:sz w:val="22"/>
          <w:szCs w:val="22"/>
        </w:rPr>
        <w:t xml:space="preserve"> Intellectual Property Policy</w:t>
      </w:r>
      <w:r w:rsidR="00C827DA" w:rsidRPr="00AF03E1">
        <w:rPr>
          <w:sz w:val="22"/>
          <w:szCs w:val="22"/>
        </w:rPr>
        <w:t>;</w:t>
      </w:r>
      <w:r w:rsidR="00C827DA" w:rsidRPr="00AF03E1">
        <w:rPr>
          <w:rFonts w:eastAsia="Wingdings"/>
          <w:sz w:val="22"/>
          <w:szCs w:val="22"/>
        </w:rPr>
        <w:t xml:space="preserve">   </w:t>
      </w:r>
    </w:p>
    <w:p w:rsidR="00756643" w:rsidRPr="00AF03E1" w:rsidRDefault="00C827DA">
      <w:pPr>
        <w:tabs>
          <w:tab w:val="center" w:pos="4680"/>
        </w:tabs>
        <w:suppressAutoHyphens/>
        <w:spacing w:before="100" w:beforeAutospacing="1" w:after="100" w:afterAutospacing="1"/>
        <w:rPr>
          <w:sz w:val="22"/>
          <w:szCs w:val="22"/>
          <w:u w:val="single"/>
        </w:rPr>
      </w:pPr>
      <w:r w:rsidRPr="00AF03E1">
        <w:rPr>
          <w:sz w:val="22"/>
          <w:szCs w:val="22"/>
          <w:u w:val="single"/>
        </w:rPr>
        <w:t>Require</w:t>
      </w:r>
      <w:r w:rsidR="00756643" w:rsidRPr="00AF03E1">
        <w:rPr>
          <w:sz w:val="22"/>
          <w:szCs w:val="22"/>
          <w:u w:val="single"/>
        </w:rPr>
        <w:t>ment</w:t>
      </w:r>
      <w:r w:rsidR="00756643" w:rsidRPr="00AF03E1">
        <w:rPr>
          <w:sz w:val="22"/>
          <w:szCs w:val="22"/>
        </w:rPr>
        <w:t>: Master</w:t>
      </w:r>
      <w:r w:rsidRPr="00AF03E1">
        <w:rPr>
          <w:sz w:val="22"/>
          <w:szCs w:val="22"/>
        </w:rPr>
        <w:t>'s degree in business administration or related field</w:t>
      </w:r>
      <w:r w:rsidR="0060709A">
        <w:rPr>
          <w:sz w:val="22"/>
          <w:szCs w:val="22"/>
        </w:rPr>
        <w:t>, or JD</w:t>
      </w:r>
      <w:r w:rsidRPr="00AF03E1">
        <w:rPr>
          <w:sz w:val="22"/>
          <w:szCs w:val="22"/>
        </w:rPr>
        <w:t xml:space="preserve"> or equivalent combination of education and experience. Four years of related experien</w:t>
      </w:r>
      <w:r w:rsidR="00756643" w:rsidRPr="00AF03E1">
        <w:rPr>
          <w:sz w:val="22"/>
          <w:szCs w:val="22"/>
        </w:rPr>
        <w:t xml:space="preserve">ce in </w:t>
      </w:r>
      <w:r w:rsidR="00476DB1" w:rsidRPr="00AF03E1">
        <w:rPr>
          <w:sz w:val="22"/>
          <w:szCs w:val="22"/>
        </w:rPr>
        <w:t xml:space="preserve">academic research administration. </w:t>
      </w:r>
      <w:proofErr w:type="gramStart"/>
      <w:r w:rsidR="00A66278" w:rsidRPr="00AF03E1">
        <w:rPr>
          <w:sz w:val="22"/>
          <w:szCs w:val="22"/>
        </w:rPr>
        <w:t>Extensive knowledge of legal contracts, and negotiation skills.</w:t>
      </w:r>
      <w:proofErr w:type="gramEnd"/>
      <w:r w:rsidR="00A66278" w:rsidRPr="00AF03E1">
        <w:rPr>
          <w:sz w:val="22"/>
          <w:szCs w:val="22"/>
        </w:rPr>
        <w:t xml:space="preserve"> </w:t>
      </w:r>
      <w:proofErr w:type="gramStart"/>
      <w:r w:rsidR="00A66278" w:rsidRPr="00AF03E1">
        <w:rPr>
          <w:sz w:val="22"/>
          <w:szCs w:val="22"/>
        </w:rPr>
        <w:t>Contract preparation skills.</w:t>
      </w:r>
      <w:proofErr w:type="gramEnd"/>
      <w:r w:rsidR="00A66278" w:rsidRPr="00AF03E1">
        <w:rPr>
          <w:sz w:val="22"/>
          <w:szCs w:val="22"/>
        </w:rPr>
        <w:t xml:space="preserve"> </w:t>
      </w:r>
      <w:proofErr w:type="gramStart"/>
      <w:r w:rsidR="00756643" w:rsidRPr="00AF03E1">
        <w:rPr>
          <w:sz w:val="22"/>
          <w:szCs w:val="22"/>
        </w:rPr>
        <w:t>PC computer skills including WORD, Excel, and Outlook.</w:t>
      </w:r>
      <w:proofErr w:type="gramEnd"/>
    </w:p>
    <w:p w:rsidR="004E34B2" w:rsidRDefault="002802C9" w:rsidP="00A66278">
      <w:pPr>
        <w:tabs>
          <w:tab w:val="center" w:pos="4680"/>
        </w:tabs>
        <w:suppressAutoHyphens/>
        <w:spacing w:before="100" w:beforeAutospacing="1" w:after="100" w:afterAutospacing="1"/>
        <w:rPr>
          <w:sz w:val="22"/>
          <w:szCs w:val="22"/>
        </w:rPr>
      </w:pPr>
      <w:r w:rsidRPr="002802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8D77" wp14:editId="5510E3DF">
                <wp:simplePos x="0" y="0"/>
                <wp:positionH relativeFrom="column">
                  <wp:posOffset>4991100</wp:posOffset>
                </wp:positionH>
                <wp:positionV relativeFrom="paragraph">
                  <wp:posOffset>292735</wp:posOffset>
                </wp:positionV>
                <wp:extent cx="1631315" cy="119126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191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2C9" w:rsidRPr="002802C9" w:rsidRDefault="002802C9" w:rsidP="002802C9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64"/>
                                <w:szCs w:val="64"/>
                              </w:rPr>
                              <w:t>O</w:t>
                            </w:r>
                            <w:r w:rsidRPr="002802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ffice of </w:t>
                            </w:r>
                          </w:p>
                          <w:p w:rsidR="002802C9" w:rsidRPr="002802C9" w:rsidRDefault="002802C9" w:rsidP="002802C9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64"/>
                                <w:szCs w:val="64"/>
                              </w:rPr>
                              <w:t>I</w:t>
                            </w:r>
                            <w:r w:rsidRPr="002802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ndustry</w:t>
                            </w:r>
                          </w:p>
                          <w:p w:rsidR="002802C9" w:rsidRPr="002802C9" w:rsidRDefault="002802C9" w:rsidP="002802C9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64"/>
                                <w:szCs w:val="64"/>
                              </w:rPr>
                              <w:t>E</w:t>
                            </w:r>
                            <w:r w:rsidRPr="002802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ngagement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93pt;margin-top:23.05pt;width:128.45pt;height:93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nisAEAAEwDAAAOAAAAZHJzL2Uyb0RvYy54bWysU8Fu2zAMvQ/YPwi6L45TLFiNOMXWosOA&#10;YRvQ7gMUWYoFWKJAsbHz96PkOB2227CLTJHU4+Mjvbub/CBOBpOD0Mp6tZbCBA2dC8dW/nx+fPdB&#10;ikQqdGqAYFp5Nkne7d++2Y2xMRvoYegMCgYJqRljK3ui2FRV0r3xKq0gmsBBC+gV8RWPVYdqZHQ/&#10;VJv1eluNgF1E0CYl9j7MQbkv+NYaTd+tTYbE0ErmRuXEch7yWe13qjmiir3TFxrqH1h45QIXvUI9&#10;KFLiBd1fUN5phASWVhp8BdY6bUoP3E29/qObp15FU3phcVK8ypT+H6z+dvqBwnU8O5YnKM8zejYT&#10;fYJJ3GZ1xpgaTnqKnEYTuzlz8Sd25qYniz5/uR3BcQY6X7VlLKHzo+1NfVO/l0JzrK5v6822qF+9&#10;Po+Y6LMBL7LRSuThFU3V6WsipsKpS0quFuDRDUP2Z44zl2zRdJguxA/QnZn3yPNtZeAFlGL4Eli+&#10;vAqLgYtxWAyk4R7mhVFB98D7ogmlmC/3VPYnU0jx4wsxjcIu154LXijxyArpy3rlnfj9XrJef4L9&#10;LwAAAP//AwBQSwMEFAAGAAgAAAAhAOIvsVXgAAAACwEAAA8AAABkcnMvZG93bnJldi54bWxMj8FO&#10;wzAQRO9I/IO1SNyo3bRK25BNVVUgcaUUxNFNljhqvI5iJw18Pe4JjqMZzbzJt5NtxUi9bxwjzGcK&#10;BHHpqoZrhOPb88MahA+aK906JoRv8rAtbm9ynVXuwq80HkItYgn7TCOYELpMSl8astrPXEccvS/X&#10;Wx2i7GtZ9foSy20rE6VSaXXDccHojvaGyvNhsAj+rD7Uy8/T7vN9M+yNddN4lAbx/m7aPYIINIW/&#10;MFzxIzoUkenkBq68aBFW6zR+CQjLdA7iGlDLZAPihJAsFiuQRS7/fyh+AQAA//8DAFBLAQItABQA&#10;BgAIAAAAIQC2gziS/gAAAOEBAAATAAAAAAAAAAAAAAAAAAAAAABbQ29udGVudF9UeXBlc10ueG1s&#10;UEsBAi0AFAAGAAgAAAAhADj9If/WAAAAlAEAAAsAAAAAAAAAAAAAAAAALwEAAF9yZWxzLy5yZWxz&#10;UEsBAi0AFAAGAAgAAAAhAPd82eKwAQAATAMAAA4AAAAAAAAAAAAAAAAALgIAAGRycy9lMm9Eb2Mu&#10;eG1sUEsBAi0AFAAGAAgAAAAhAOIvsVXgAAAACwEAAA8AAAAAAAAAAAAAAAAACgQAAGRycy9kb3du&#10;cmV2LnhtbFBLBQYAAAAABAAEAPMAAAAXBQAAAAA=&#10;" filled="f" stroked="f">
                <v:textbox style="mso-fit-shape-to-text:t" inset="0,0,0,0">
                  <w:txbxContent>
                    <w:p w:rsidR="002802C9" w:rsidRPr="002802C9" w:rsidRDefault="002802C9" w:rsidP="002802C9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64"/>
                          <w:szCs w:val="64"/>
                        </w:rPr>
                        <w:t>O</w:t>
                      </w:r>
                      <w:r w:rsidRPr="002802C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ffice of </w:t>
                      </w:r>
                    </w:p>
                    <w:p w:rsidR="002802C9" w:rsidRPr="002802C9" w:rsidRDefault="002802C9" w:rsidP="002802C9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64"/>
                          <w:szCs w:val="64"/>
                        </w:rPr>
                        <w:t>I</w:t>
                      </w:r>
                      <w:r w:rsidRPr="002802C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ndustry</w:t>
                      </w:r>
                    </w:p>
                    <w:p w:rsidR="002802C9" w:rsidRPr="002802C9" w:rsidRDefault="002802C9" w:rsidP="002802C9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64"/>
                          <w:szCs w:val="64"/>
                        </w:rPr>
                        <w:t>E</w:t>
                      </w:r>
                      <w:r w:rsidRPr="002802C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ngagement</w:t>
                      </w:r>
                    </w:p>
                  </w:txbxContent>
                </v:textbox>
              </v:shape>
            </w:pict>
          </mc:Fallback>
        </mc:AlternateContent>
      </w:r>
      <w:r w:rsidR="00C827DA" w:rsidRPr="00AF03E1">
        <w:rPr>
          <w:sz w:val="22"/>
          <w:szCs w:val="22"/>
          <w:u w:val="single"/>
        </w:rPr>
        <w:t>Additional desirable qualifications</w:t>
      </w:r>
      <w:r w:rsidR="00C827DA" w:rsidRPr="00AF03E1">
        <w:rPr>
          <w:sz w:val="22"/>
          <w:szCs w:val="22"/>
        </w:rPr>
        <w:t xml:space="preserve">: Experience gained in the department to be served. </w:t>
      </w:r>
      <w:r w:rsidR="00476DB1" w:rsidRPr="00AF03E1">
        <w:rPr>
          <w:sz w:val="22"/>
          <w:szCs w:val="22"/>
        </w:rPr>
        <w:t xml:space="preserve">Knowledge and experience with Oracle. </w:t>
      </w:r>
      <w:proofErr w:type="gramStart"/>
      <w:r w:rsidR="00476DB1" w:rsidRPr="00AF03E1">
        <w:rPr>
          <w:sz w:val="22"/>
          <w:szCs w:val="22"/>
        </w:rPr>
        <w:t>Knowledge of contracting law, legal or p</w:t>
      </w:r>
      <w:r w:rsidR="00C827DA" w:rsidRPr="00AF03E1">
        <w:rPr>
          <w:sz w:val="22"/>
          <w:szCs w:val="22"/>
        </w:rPr>
        <w:t>ara</w:t>
      </w:r>
      <w:r w:rsidR="00476DB1" w:rsidRPr="00AF03E1">
        <w:rPr>
          <w:sz w:val="22"/>
          <w:szCs w:val="22"/>
        </w:rPr>
        <w:t xml:space="preserve">legal courses </w:t>
      </w:r>
      <w:r w:rsidR="00C827DA" w:rsidRPr="00AF03E1">
        <w:rPr>
          <w:sz w:val="22"/>
          <w:szCs w:val="22"/>
        </w:rPr>
        <w:t>taken in contract law.</w:t>
      </w:r>
      <w:proofErr w:type="gramEnd"/>
    </w:p>
    <w:p w:rsidR="00AF03E1" w:rsidRPr="002802C9" w:rsidRDefault="004E34B2" w:rsidP="00A66278">
      <w:pPr>
        <w:tabs>
          <w:tab w:val="center" w:pos="4680"/>
        </w:tabs>
        <w:suppressAutoHyphens/>
        <w:spacing w:before="100" w:beforeAutospacing="1" w:after="100" w:afterAutospacing="1"/>
        <w:rPr>
          <w:sz w:val="22"/>
          <w:szCs w:val="22"/>
        </w:rPr>
      </w:pPr>
      <w:r>
        <w:rPr>
          <w:noProof/>
        </w:rPr>
        <w:drawing>
          <wp:inline distT="0" distB="0" distL="0" distR="0" wp14:anchorId="0A09B200" wp14:editId="30FE4EDE">
            <wp:extent cx="2950218" cy="785003"/>
            <wp:effectExtent l="0" t="0" r="254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3E1" w:rsidRPr="002802C9" w:rsidSect="004E34B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C"/>
    <w:rsid w:val="001938FD"/>
    <w:rsid w:val="00231F06"/>
    <w:rsid w:val="002802C9"/>
    <w:rsid w:val="00476DB1"/>
    <w:rsid w:val="004E34B2"/>
    <w:rsid w:val="0060709A"/>
    <w:rsid w:val="00756643"/>
    <w:rsid w:val="009455BC"/>
    <w:rsid w:val="00A66278"/>
    <w:rsid w:val="00AF03E1"/>
    <w:rsid w:val="00C827D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2C9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E3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2C9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E3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eers.gatech.edu/career-paths/research-oppotunities-taleo" TargetMode="External"/><Relationship Id="rId5" Type="http://schemas.openxmlformats.org/officeDocument/2006/relationships/hyperlink" Target="mailto:terry.stout@gtrc.gatec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Relations Officer- Wake Forest University Health Sciences</vt:lpstr>
    </vt:vector>
  </TitlesOfParts>
  <Company>Emory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Relations Officer- Wake Forest University Health Sciences</dc:title>
  <dc:creator>Terry Stout</dc:creator>
  <cp:lastModifiedBy>Stout, Terry L</cp:lastModifiedBy>
  <cp:revision>3</cp:revision>
  <cp:lastPrinted>2002-09-13T15:29:00Z</cp:lastPrinted>
  <dcterms:created xsi:type="dcterms:W3CDTF">2014-03-20T19:02:00Z</dcterms:created>
  <dcterms:modified xsi:type="dcterms:W3CDTF">2014-03-25T12:54:00Z</dcterms:modified>
</cp:coreProperties>
</file>