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0" w:type="dxa"/>
        <w:tblCellSpacing w:w="15" w:type="dxa"/>
        <w:tblBorders>
          <w:top w:val="outset" w:sz="8" w:space="0" w:color="E0E0E0"/>
          <w:left w:val="outset" w:sz="8" w:space="0" w:color="E0E0E0"/>
          <w:bottom w:val="outset" w:sz="8" w:space="0" w:color="E0E0E0"/>
          <w:right w:val="outset" w:sz="8" w:space="0" w:color="E0E0E0"/>
        </w:tblBorders>
        <w:tblCellMar>
          <w:left w:w="0" w:type="dxa"/>
          <w:right w:w="0" w:type="dxa"/>
        </w:tblCellMar>
        <w:tblLook w:val="04A0"/>
      </w:tblPr>
      <w:tblGrid>
        <w:gridCol w:w="9740"/>
      </w:tblGrid>
      <w:tr w:rsidR="00B018B3" w:rsidRPr="00B018B3" w:rsidTr="00B20543">
        <w:trPr>
          <w:tblCellSpacing w:w="15" w:type="dxa"/>
        </w:trPr>
        <w:tc>
          <w:tcPr>
            <w:tcW w:w="9680" w:type="dxa"/>
            <w:tcBorders>
              <w:top w:val="outset" w:sz="8" w:space="0" w:color="E0E0E0"/>
              <w:left w:val="outset" w:sz="8" w:space="0" w:color="E0E0E0"/>
              <w:bottom w:val="outset" w:sz="8" w:space="0" w:color="E0E0E0"/>
              <w:right w:val="outset" w:sz="8" w:space="0" w:color="E0E0E0"/>
            </w:tcBorders>
            <w:tcMar>
              <w:top w:w="150" w:type="dxa"/>
              <w:left w:w="150" w:type="dxa"/>
              <w:bottom w:w="150" w:type="dxa"/>
              <w:right w:w="150" w:type="dxa"/>
            </w:tcMar>
            <w:hideMark/>
          </w:tcPr>
          <w:p w:rsidR="00B018B3" w:rsidRPr="00B018B3" w:rsidRDefault="00B018B3" w:rsidP="00B018B3">
            <w:pPr>
              <w:jc w:val="center"/>
              <w:rPr>
                <w:rFonts w:ascii="Times New Roman" w:eastAsia="Times New Roman" w:hAnsi="Times New Roman" w:cs="Times New Roman"/>
                <w:color w:val="002659"/>
              </w:rPr>
            </w:pPr>
            <w:r w:rsidRPr="00B018B3">
              <w:rPr>
                <w:rFonts w:eastAsia="Times New Roman"/>
                <w:b/>
                <w:bCs/>
                <w:color w:val="002659"/>
                <w:sz w:val="24"/>
                <w:szCs w:val="24"/>
              </w:rPr>
              <w:t xml:space="preserve">Title: </w:t>
            </w:r>
            <w:r w:rsidRPr="00B018B3">
              <w:rPr>
                <w:rFonts w:eastAsia="Times New Roman"/>
                <w:color w:val="002659"/>
                <w:sz w:val="24"/>
                <w:szCs w:val="24"/>
              </w:rPr>
              <w:t>Vice Chancellor for Research and Economic Development</w:t>
            </w:r>
          </w:p>
          <w:p w:rsidR="00B018B3" w:rsidRPr="00B018B3" w:rsidRDefault="00B018B3" w:rsidP="00B018B3">
            <w:pPr>
              <w:jc w:val="center"/>
              <w:rPr>
                <w:rFonts w:ascii="Times New Roman" w:eastAsia="Times New Roman" w:hAnsi="Times New Roman" w:cs="Times New Roman"/>
                <w:color w:val="002659"/>
              </w:rPr>
            </w:pPr>
            <w:r w:rsidRPr="00B018B3">
              <w:rPr>
                <w:rFonts w:ascii="Times New Roman" w:eastAsia="Times New Roman" w:hAnsi="Times New Roman" w:cs="Times New Roman"/>
                <w:color w:val="002659"/>
              </w:rPr>
              <w:t> </w:t>
            </w:r>
          </w:p>
          <w:p w:rsidR="00B018B3" w:rsidRPr="00B018B3" w:rsidRDefault="00B018B3" w:rsidP="00B018B3">
            <w:pPr>
              <w:jc w:val="center"/>
              <w:rPr>
                <w:rFonts w:ascii="Times New Roman" w:eastAsia="Times New Roman" w:hAnsi="Times New Roman" w:cs="Times New Roman"/>
                <w:color w:val="002659"/>
              </w:rPr>
            </w:pPr>
            <w:r w:rsidRPr="00B018B3">
              <w:rPr>
                <w:rFonts w:eastAsia="Times New Roman"/>
                <w:b/>
                <w:bCs/>
                <w:color w:val="002659"/>
                <w:sz w:val="24"/>
                <w:szCs w:val="24"/>
              </w:rPr>
              <w:t xml:space="preserve">Position Number: </w:t>
            </w:r>
            <w:r w:rsidRPr="00B018B3">
              <w:rPr>
                <w:rFonts w:eastAsia="Times New Roman"/>
                <w:color w:val="002659"/>
                <w:sz w:val="24"/>
                <w:szCs w:val="24"/>
              </w:rPr>
              <w:t>3091</w:t>
            </w:r>
            <w:r w:rsidRPr="00B018B3">
              <w:rPr>
                <w:rFonts w:ascii="Times New Roman" w:eastAsia="Times New Roman" w:hAnsi="Times New Roman" w:cs="Times New Roman"/>
                <w:color w:val="002659"/>
              </w:rPr>
              <w:t xml:space="preserve"> </w:t>
            </w:r>
          </w:p>
          <w:p w:rsidR="00B018B3" w:rsidRPr="00B018B3" w:rsidRDefault="00B018B3" w:rsidP="00B018B3">
            <w:pPr>
              <w:jc w:val="center"/>
              <w:rPr>
                <w:rFonts w:ascii="Times New Roman" w:eastAsia="Times New Roman" w:hAnsi="Times New Roman" w:cs="Times New Roman"/>
                <w:color w:val="002659"/>
              </w:rPr>
            </w:pPr>
            <w:r w:rsidRPr="00B018B3">
              <w:rPr>
                <w:rFonts w:ascii="Times New Roman" w:eastAsia="Times New Roman" w:hAnsi="Times New Roman" w:cs="Times New Roman"/>
                <w:color w:val="002659"/>
              </w:rPr>
              <w:t xml:space="preserve">  </w:t>
            </w:r>
          </w:p>
          <w:p w:rsidR="00B018B3" w:rsidRPr="00B018B3" w:rsidRDefault="00B018B3" w:rsidP="00837D0E">
            <w:pPr>
              <w:jc w:val="center"/>
              <w:rPr>
                <w:rFonts w:ascii="Times New Roman" w:eastAsia="Times New Roman" w:hAnsi="Times New Roman" w:cs="Times New Roman"/>
                <w:color w:val="002659"/>
              </w:rPr>
            </w:pPr>
            <w:r w:rsidRPr="00B018B3">
              <w:rPr>
                <w:rFonts w:eastAsia="Times New Roman"/>
                <w:color w:val="002659"/>
                <w:sz w:val="24"/>
                <w:szCs w:val="24"/>
              </w:rPr>
              <w:t xml:space="preserve">Updated </w:t>
            </w:r>
            <w:r w:rsidR="00837D0E">
              <w:rPr>
                <w:rFonts w:eastAsia="Times New Roman"/>
                <w:color w:val="002659"/>
                <w:sz w:val="24"/>
                <w:szCs w:val="24"/>
              </w:rPr>
              <w:t>December 2</w:t>
            </w:r>
            <w:r w:rsidRPr="00B018B3">
              <w:rPr>
                <w:rFonts w:eastAsia="Times New Roman"/>
                <w:color w:val="002659"/>
                <w:sz w:val="24"/>
                <w:szCs w:val="24"/>
              </w:rPr>
              <w:t xml:space="preserve">, 2011 </w:t>
            </w:r>
          </w:p>
        </w:tc>
      </w:tr>
      <w:tr w:rsidR="00B018B3" w:rsidRPr="00B018B3" w:rsidTr="00B20543">
        <w:trPr>
          <w:tblCellSpacing w:w="15" w:type="dxa"/>
        </w:trPr>
        <w:tc>
          <w:tcPr>
            <w:tcW w:w="9680" w:type="dxa"/>
            <w:tcBorders>
              <w:top w:val="outset" w:sz="8" w:space="0" w:color="E0E0E0"/>
              <w:left w:val="outset" w:sz="8" w:space="0" w:color="E0E0E0"/>
              <w:bottom w:val="outset" w:sz="8" w:space="0" w:color="E0E0E0"/>
              <w:right w:val="outset" w:sz="8" w:space="0" w:color="E0E0E0"/>
            </w:tcBorders>
            <w:tcMar>
              <w:top w:w="150" w:type="dxa"/>
              <w:left w:w="150" w:type="dxa"/>
              <w:bottom w:w="150" w:type="dxa"/>
              <w:right w:w="150" w:type="dxa"/>
            </w:tcMar>
            <w:vAlign w:val="center"/>
            <w:hideMark/>
          </w:tcPr>
          <w:p w:rsidR="00B018B3" w:rsidRPr="00B018B3" w:rsidRDefault="00B018B3" w:rsidP="00B018B3">
            <w:pPr>
              <w:rPr>
                <w:rFonts w:ascii="Times New Roman" w:eastAsia="Times New Roman" w:hAnsi="Times New Roman" w:cs="Times New Roman"/>
                <w:color w:val="002659"/>
              </w:rPr>
            </w:pPr>
            <w:r w:rsidRPr="00B018B3">
              <w:rPr>
                <w:rFonts w:eastAsia="Times New Roman"/>
                <w:b/>
                <w:bCs/>
                <w:color w:val="002659"/>
                <w:sz w:val="24"/>
                <w:szCs w:val="24"/>
              </w:rPr>
              <w:t xml:space="preserve">University/Program Overview: </w:t>
            </w:r>
            <w:r w:rsidRPr="00B018B3">
              <w:rPr>
                <w:rFonts w:eastAsia="Times New Roman"/>
                <w:color w:val="002659"/>
              </w:rPr>
              <w:br/>
              <w:t xml:space="preserve">North Carolina Agricultural and Technical State University (NCATSU) is one of 17 institutions of The University of North Carolina (UNC) System and is a Land-Grant and doctoral research institution committed to fulfilling its fundamental purposes through exemplary undergraduate and graduate instruction, scholarly and creative research, and effective public service. NCATSU is ranked third in research funding in the UNC System, behind only UNC-Chapel Hill and NC State University for fiscal years 2005 – 2011. For FY2011, the University had $60.5 Million in research funding and currently manages a portfolio of 228 active projects valued at about $ 345 million. Amongst these projects is the Generation 3 NSF Engineering Research Center for Revolutionizing Metallic Biomaterials for transformational activities and economic impact. This is the first ERC headed by a HBCU. The University offers degree programs at the baccalaureate, masters, and doctoral levels. </w:t>
            </w:r>
            <w:r w:rsidRPr="00B018B3">
              <w:rPr>
                <w:rFonts w:eastAsia="Times New Roman"/>
                <w:color w:val="002659"/>
              </w:rPr>
              <w:br/>
              <w:t> </w:t>
            </w:r>
          </w:p>
          <w:p w:rsidR="00B018B3" w:rsidRPr="00B018B3" w:rsidRDefault="00B018B3" w:rsidP="00B018B3">
            <w:pPr>
              <w:rPr>
                <w:rFonts w:ascii="Times New Roman" w:eastAsia="Times New Roman" w:hAnsi="Times New Roman" w:cs="Times New Roman"/>
                <w:color w:val="002659"/>
              </w:rPr>
            </w:pPr>
            <w:r w:rsidRPr="00B018B3">
              <w:rPr>
                <w:rFonts w:eastAsia="Times New Roman"/>
                <w:color w:val="002659"/>
              </w:rPr>
              <w:t xml:space="preserve">The Division of Research and Economic Development provides the vital link between the region’s economic and social development efforts and the university’s rich knowledge base. The Division promotes this interaction by fostering commercialization of university developed innovations, encouraging entrepreneurial growth both on and off-campus, engaging businesses in developing growth opportunities based on the university’s research expertise, and collaborating with local, regional and state-run economic development agencies to promote business growth. Within the Division, the offices of Outreach and Technology Transfer and Economic Development have, respectively, the responsibility of providing commercial outlets for the University’s intellectual property and engaging both commercial and governmental sectors to enhance the University’s research opportunities. The University has also established a Research-Industrial Park, called the Gateway University Research Park with the University of North Carolina at Greensboro to foster technology transfer and promote economic development in the region. One of the newest projects at the Gateway University Research Park is the Joint School of Nanoscience and Nanoengineering (JSNN). The JSNN will offer Professional Master’s of Science and Ph.D. degrees in Nanoscience and there are plans to develop degree programs in Nanoengineering. Completion of the $64 million dollar JSNN building is anticipated for late 2011. </w:t>
            </w:r>
            <w:r w:rsidRPr="00B018B3">
              <w:rPr>
                <w:rFonts w:eastAsia="Times New Roman"/>
                <w:color w:val="002659"/>
              </w:rPr>
              <w:br/>
              <w:t> </w:t>
            </w:r>
          </w:p>
          <w:p w:rsidR="00B018B3" w:rsidRPr="00B018B3" w:rsidRDefault="00B018B3" w:rsidP="00B018B3">
            <w:pPr>
              <w:rPr>
                <w:rFonts w:ascii="Times New Roman" w:eastAsia="Times New Roman" w:hAnsi="Times New Roman" w:cs="Times New Roman"/>
                <w:color w:val="002659"/>
              </w:rPr>
            </w:pPr>
            <w:r w:rsidRPr="00B018B3">
              <w:rPr>
                <w:rFonts w:eastAsia="Times New Roman"/>
                <w:color w:val="002659"/>
              </w:rPr>
              <w:t>The University enrolls over 10,000 students with approximately 1,800 faculty and staff. The Division of Research and Economic Development administers and manages research and sponsored programs as well as technology transfer and commercialization for the University. Headed by the Vice Chancellor for Research &amp; Economic Development, the division is made up of the Vice Chancellor’s management team, the Office of Sponsored Programs, the Office of Technology Transfer and Outreach, the Office of Research Ethics and Compliance, the Office of Research Services, and the Office of Undergraduate Research. The Division coordinates interdisciplinary funding opportunities among the University’s colleges and schools and assists in transforming research into marketable economic opportunities.</w:t>
            </w:r>
            <w:r w:rsidRPr="00B018B3">
              <w:rPr>
                <w:rFonts w:eastAsia="Times New Roman"/>
                <w:color w:val="002659"/>
              </w:rPr>
              <w:br/>
              <w:t> </w:t>
            </w:r>
          </w:p>
          <w:p w:rsidR="00B018B3" w:rsidRPr="00B018B3" w:rsidRDefault="00B018B3" w:rsidP="00B018B3">
            <w:pPr>
              <w:rPr>
                <w:rFonts w:ascii="Times New Roman" w:eastAsia="Times New Roman" w:hAnsi="Times New Roman" w:cs="Times New Roman"/>
                <w:color w:val="002659"/>
              </w:rPr>
            </w:pPr>
            <w:r w:rsidRPr="00B018B3">
              <w:rPr>
                <w:rFonts w:ascii="Times New Roman" w:eastAsia="Times New Roman" w:hAnsi="Times New Roman" w:cs="Times New Roman"/>
                <w:color w:val="002659"/>
              </w:rPr>
              <w:t> </w:t>
            </w:r>
          </w:p>
          <w:p w:rsidR="00B018B3" w:rsidRPr="00B018B3" w:rsidRDefault="00B018B3" w:rsidP="00B018B3">
            <w:pPr>
              <w:rPr>
                <w:rFonts w:ascii="Times New Roman" w:eastAsia="Times New Roman" w:hAnsi="Times New Roman" w:cs="Times New Roman"/>
                <w:color w:val="002659"/>
              </w:rPr>
            </w:pPr>
            <w:r w:rsidRPr="00B018B3">
              <w:rPr>
                <w:rFonts w:eastAsia="Times New Roman"/>
                <w:b/>
                <w:bCs/>
                <w:color w:val="002659"/>
                <w:sz w:val="24"/>
                <w:szCs w:val="24"/>
              </w:rPr>
              <w:t>Primary Duties and Responsibilities:</w:t>
            </w:r>
          </w:p>
          <w:p w:rsidR="00B018B3" w:rsidRPr="00B018B3" w:rsidRDefault="00B018B3" w:rsidP="00B018B3">
            <w:pPr>
              <w:rPr>
                <w:rFonts w:ascii="Times New Roman" w:eastAsia="Times New Roman" w:hAnsi="Times New Roman" w:cs="Times New Roman"/>
                <w:color w:val="002659"/>
              </w:rPr>
            </w:pPr>
            <w:r w:rsidRPr="00B018B3">
              <w:rPr>
                <w:rFonts w:eastAsia="Times New Roman"/>
                <w:color w:val="002659"/>
              </w:rPr>
              <w:t xml:space="preserve">As a direct report to the Provost and Vice Chancellor for Academic Affairs and a member of the Chancellor’s Executive Cabinet, the Vice Chancellor for Research and Economic Development has the overall responsibility of guiding and facilitating the research and economic development enterprises of NCAT including their integration into the NCATSU learning experiences. </w:t>
            </w:r>
          </w:p>
          <w:p w:rsidR="00B018B3" w:rsidRPr="00B018B3" w:rsidRDefault="00B018B3" w:rsidP="00B018B3">
            <w:pPr>
              <w:rPr>
                <w:rFonts w:ascii="Times New Roman" w:eastAsia="Times New Roman" w:hAnsi="Times New Roman" w:cs="Times New Roman"/>
                <w:color w:val="002659"/>
              </w:rPr>
            </w:pPr>
            <w:r w:rsidRPr="00B018B3">
              <w:rPr>
                <w:rFonts w:ascii="Times New Roman" w:eastAsia="Times New Roman" w:hAnsi="Times New Roman" w:cs="Times New Roman"/>
                <w:color w:val="002659"/>
              </w:rPr>
              <w:t> </w:t>
            </w:r>
          </w:p>
          <w:p w:rsidR="00B018B3" w:rsidRPr="00B018B3" w:rsidRDefault="00B018B3" w:rsidP="00B018B3">
            <w:pPr>
              <w:rPr>
                <w:rFonts w:ascii="Times New Roman" w:eastAsia="Times New Roman" w:hAnsi="Times New Roman" w:cs="Times New Roman"/>
                <w:color w:val="002659"/>
              </w:rPr>
            </w:pPr>
            <w:r w:rsidRPr="00B018B3">
              <w:rPr>
                <w:rFonts w:eastAsia="Times New Roman"/>
                <w:b/>
                <w:bCs/>
                <w:color w:val="002659"/>
                <w:sz w:val="24"/>
                <w:szCs w:val="24"/>
              </w:rPr>
              <w:t>Qualifications:</w:t>
            </w:r>
            <w:r w:rsidRPr="00B018B3">
              <w:rPr>
                <w:rFonts w:eastAsia="Times New Roman"/>
                <w:b/>
                <w:bCs/>
                <w:color w:val="002659"/>
              </w:rPr>
              <w:br/>
            </w:r>
            <w:r w:rsidRPr="00B018B3">
              <w:rPr>
                <w:rFonts w:eastAsia="Times New Roman"/>
                <w:color w:val="002659"/>
              </w:rPr>
              <w:t xml:space="preserve">Candidates must have a documented record of administrative experience, funded research, and economic development accomplishments. Applications are encouraged from candidates who may be eligible for concurrent faculty appointments with tenure.  The Vice Chancellor for Research and Economic Development will be an experienced, visionary, and a highly entrepreneurial leader who can take the university as a Carnegie Classified Research Intensive University to a tier one national university through innovative strategic planning in concert with the university mission and priorities. Experience would include a distinguished record of excellence in scholarship through sustained research activity, success in </w:t>
            </w:r>
            <w:r w:rsidRPr="00B018B3">
              <w:rPr>
                <w:rFonts w:eastAsia="Times New Roman"/>
                <w:color w:val="002659"/>
              </w:rPr>
              <w:lastRenderedPageBreak/>
              <w:t xml:space="preserve">securing external grant support, and experience in the administration of a research enterprise. The candidate should have a broad knowledge of the sponsored-research regulatory environment and federal policies and procedures for federal appropriations and research compliance. Strong leadership, entrepreneurship, and administrative skills as well the commitment to involve both undergraduate and graduate students in research are required. </w:t>
            </w:r>
            <w:r w:rsidRPr="00B018B3">
              <w:rPr>
                <w:rFonts w:eastAsia="Times New Roman"/>
                <w:color w:val="002659"/>
              </w:rPr>
              <w:br/>
            </w:r>
            <w:r w:rsidRPr="00B018B3">
              <w:rPr>
                <w:rFonts w:eastAsia="Times New Roman"/>
                <w:color w:val="002659"/>
              </w:rPr>
              <w:br/>
              <w:t>Preferred candidates should have experience in directing interdisciplinary research and demonstrate the following: The ability to promote the University’s researc</w:t>
            </w:r>
            <w:bookmarkStart w:id="0" w:name="_GoBack"/>
            <w:bookmarkEnd w:id="0"/>
            <w:r w:rsidRPr="00B018B3">
              <w:rPr>
                <w:rFonts w:eastAsia="Times New Roman"/>
                <w:color w:val="002659"/>
              </w:rPr>
              <w:t xml:space="preserve">h agenda with industry, federal and state agencies and federal relations; the ability to foster research collaborations and interactions among the units of the University; the ability to oversee the development and implementation of University-wide and UNC research policies and guideline; the ability to develop, leverage and nurture strategic partnerships in the public and private sectors; the ability to provide state-of-the-art services to the research community, design faculty development and retooling opportunities; the ability to facilitate technology transfer and licensing and create a focused and innovative research and economic development plan for the University consistent with its strategic vision.    </w:t>
            </w:r>
          </w:p>
          <w:p w:rsidR="00B018B3" w:rsidRPr="00A60AF2" w:rsidRDefault="00B018B3" w:rsidP="00B018B3">
            <w:pPr>
              <w:spacing w:before="100" w:beforeAutospacing="1" w:after="100" w:afterAutospacing="1"/>
              <w:rPr>
                <w:rFonts w:ascii="Times New Roman" w:eastAsia="Times New Roman" w:hAnsi="Times New Roman" w:cs="Times New Roman"/>
                <w:color w:val="002659"/>
              </w:rPr>
            </w:pPr>
            <w:r w:rsidRPr="00B018B3">
              <w:rPr>
                <w:rFonts w:eastAsia="Times New Roman"/>
                <w:b/>
                <w:bCs/>
                <w:color w:val="002659"/>
                <w:sz w:val="24"/>
                <w:szCs w:val="24"/>
              </w:rPr>
              <w:t>Application Procedure:</w:t>
            </w:r>
            <w:r w:rsidRPr="00B018B3">
              <w:rPr>
                <w:rFonts w:eastAsia="Times New Roman"/>
                <w:color w:val="002659"/>
              </w:rPr>
              <w:br/>
            </w:r>
            <w:r w:rsidRPr="00A60AF2">
              <w:rPr>
                <w:rFonts w:eastAsia="Times New Roman"/>
                <w:color w:val="002659"/>
              </w:rPr>
              <w:t xml:space="preserve">Interested applicants must submit an (1) </w:t>
            </w:r>
            <w:hyperlink r:id="rId4" w:history="1">
              <w:r w:rsidRPr="00A60AF2">
                <w:rPr>
                  <w:rFonts w:eastAsia="Times New Roman"/>
                  <w:color w:val="0000FF"/>
                  <w:u w:val="single"/>
                </w:rPr>
                <w:t>Administrative and Faculty Employment Application</w:t>
              </w:r>
            </w:hyperlink>
            <w:r w:rsidRPr="00A60AF2">
              <w:rPr>
                <w:rFonts w:eastAsia="Times New Roman"/>
                <w:color w:val="002659"/>
              </w:rPr>
              <w:t xml:space="preserve">, (2) letter of interest, (3) complete curriculum vitae including references with contact information, and (4) brief statement of applicant’s leadership philosophy. Applications/nominations should be sent via email to Dr. Sanjiv Sarin at </w:t>
            </w:r>
            <w:hyperlink r:id="rId5" w:history="1">
              <w:r w:rsidRPr="00A60AF2">
                <w:rPr>
                  <w:rFonts w:eastAsia="Times New Roman"/>
                  <w:color w:val="0000FF"/>
                  <w:u w:val="single"/>
                </w:rPr>
                <w:t>sarin@ncat.edu</w:t>
              </w:r>
            </w:hyperlink>
            <w:r w:rsidRPr="00A60AF2">
              <w:rPr>
                <w:rFonts w:eastAsia="Times New Roman"/>
                <w:color w:val="FF0000"/>
              </w:rPr>
              <w:t>.</w:t>
            </w:r>
            <w:r w:rsidRPr="00A60AF2">
              <w:rPr>
                <w:rFonts w:eastAsia="Times New Roman"/>
                <w:color w:val="002659"/>
              </w:rPr>
              <w:t xml:space="preserve"> Applications can also be mailed to the address below:</w:t>
            </w:r>
            <w:r w:rsidRPr="00A60AF2">
              <w:rPr>
                <w:rFonts w:eastAsia="Times New Roman"/>
                <w:color w:val="002659"/>
              </w:rPr>
              <w:br/>
              <w:t> </w:t>
            </w:r>
          </w:p>
          <w:p w:rsidR="00B018B3" w:rsidRPr="00B018B3" w:rsidRDefault="00B018B3" w:rsidP="00B018B3">
            <w:pPr>
              <w:spacing w:before="100" w:beforeAutospacing="1" w:after="100" w:afterAutospacing="1"/>
              <w:rPr>
                <w:rFonts w:ascii="Times New Roman" w:eastAsia="Times New Roman" w:hAnsi="Times New Roman" w:cs="Times New Roman"/>
                <w:color w:val="002659"/>
                <w:sz w:val="24"/>
                <w:szCs w:val="24"/>
              </w:rPr>
            </w:pPr>
            <w:r w:rsidRPr="00A60AF2">
              <w:rPr>
                <w:rFonts w:eastAsia="Times New Roman"/>
                <w:color w:val="002659"/>
              </w:rPr>
              <w:t>Dr. Sanjiv Sarin</w:t>
            </w:r>
            <w:r w:rsidRPr="00A60AF2">
              <w:rPr>
                <w:rFonts w:eastAsia="Times New Roman"/>
                <w:color w:val="002659"/>
              </w:rPr>
              <w:br/>
              <w:t>Associate Vice Chancellor for Research, Dean of Graduate School</w:t>
            </w:r>
            <w:r w:rsidRPr="00A60AF2">
              <w:rPr>
                <w:rFonts w:eastAsia="Times New Roman"/>
                <w:color w:val="002659"/>
              </w:rPr>
              <w:br/>
              <w:t>SEARCH COMMITTEE - VICE CHANCELLOR FOR RESEARCH AND DEVELOPMENT</w:t>
            </w:r>
            <w:r w:rsidRPr="00A60AF2">
              <w:rPr>
                <w:rFonts w:eastAsia="Times New Roman"/>
                <w:color w:val="002659"/>
              </w:rPr>
              <w:br/>
              <w:t>North Carolina A&amp;T State University</w:t>
            </w:r>
            <w:r w:rsidRPr="00A60AF2">
              <w:rPr>
                <w:rFonts w:eastAsia="Times New Roman"/>
                <w:color w:val="002659"/>
              </w:rPr>
              <w:br/>
              <w:t>School of Graduate Studies</w:t>
            </w:r>
            <w:r w:rsidRPr="00A60AF2">
              <w:rPr>
                <w:rFonts w:eastAsia="Times New Roman"/>
                <w:color w:val="002659"/>
              </w:rPr>
              <w:br/>
              <w:t>120 Gibbs Hall</w:t>
            </w:r>
            <w:r w:rsidRPr="00A60AF2">
              <w:rPr>
                <w:rFonts w:eastAsia="Times New Roman"/>
                <w:color w:val="002659"/>
              </w:rPr>
              <w:br/>
              <w:t>Greensboro, NC 27401</w:t>
            </w:r>
            <w:r w:rsidRPr="00A60AF2">
              <w:rPr>
                <w:rFonts w:eastAsia="Times New Roman"/>
                <w:color w:val="002659"/>
              </w:rPr>
              <w:br/>
            </w:r>
            <w:r w:rsidRPr="00B018B3">
              <w:rPr>
                <w:rFonts w:eastAsia="Times New Roman"/>
                <w:color w:val="002659"/>
                <w:sz w:val="24"/>
                <w:szCs w:val="24"/>
              </w:rPr>
              <w:t> </w:t>
            </w:r>
          </w:p>
          <w:p w:rsidR="00B018B3" w:rsidRPr="00B018B3" w:rsidRDefault="00B018B3" w:rsidP="00B018B3">
            <w:pPr>
              <w:spacing w:before="100" w:beforeAutospacing="1" w:after="100" w:afterAutospacing="1"/>
              <w:rPr>
                <w:rFonts w:ascii="Times New Roman" w:eastAsia="Times New Roman" w:hAnsi="Times New Roman" w:cs="Times New Roman"/>
                <w:color w:val="002659"/>
              </w:rPr>
            </w:pPr>
            <w:r w:rsidRPr="00B018B3">
              <w:rPr>
                <w:rFonts w:eastAsia="Times New Roman"/>
                <w:b/>
                <w:bCs/>
                <w:color w:val="002659"/>
                <w:sz w:val="24"/>
                <w:szCs w:val="24"/>
              </w:rPr>
              <w:t>Application Deadline:</w:t>
            </w:r>
            <w:r w:rsidRPr="00B018B3">
              <w:rPr>
                <w:rFonts w:eastAsia="Times New Roman"/>
                <w:color w:val="002659"/>
              </w:rPr>
              <w:t xml:space="preserve"> Full committee review of applications begins </w:t>
            </w:r>
            <w:r w:rsidR="00A60AF2">
              <w:rPr>
                <w:rFonts w:eastAsia="Times New Roman"/>
                <w:color w:val="002659"/>
              </w:rPr>
              <w:t>January 23</w:t>
            </w:r>
            <w:r w:rsidRPr="00B018B3">
              <w:rPr>
                <w:rFonts w:eastAsia="Times New Roman"/>
                <w:color w:val="002659"/>
              </w:rPr>
              <w:t>, 201</w:t>
            </w:r>
            <w:r w:rsidR="00A60AF2">
              <w:rPr>
                <w:rFonts w:eastAsia="Times New Roman"/>
                <w:color w:val="002659"/>
              </w:rPr>
              <w:t>2</w:t>
            </w:r>
            <w:r w:rsidRPr="00B018B3">
              <w:rPr>
                <w:rFonts w:eastAsia="Times New Roman"/>
                <w:color w:val="002659"/>
              </w:rPr>
              <w:t>. However, applications will be accepted until the position is filled.</w:t>
            </w:r>
          </w:p>
          <w:p w:rsidR="00B018B3" w:rsidRPr="00B018B3" w:rsidRDefault="00B018B3" w:rsidP="00B018B3">
            <w:pPr>
              <w:spacing w:before="100" w:beforeAutospacing="1" w:after="100" w:afterAutospacing="1"/>
              <w:rPr>
                <w:rFonts w:ascii="Times New Roman" w:eastAsia="Times New Roman" w:hAnsi="Times New Roman" w:cs="Times New Roman"/>
                <w:color w:val="002659"/>
              </w:rPr>
            </w:pPr>
            <w:r w:rsidRPr="00B018B3">
              <w:rPr>
                <w:rFonts w:eastAsia="Times New Roman"/>
                <w:b/>
                <w:bCs/>
                <w:color w:val="002659"/>
                <w:sz w:val="24"/>
                <w:szCs w:val="24"/>
              </w:rPr>
              <w:t>Position Available:</w:t>
            </w:r>
            <w:r w:rsidRPr="00B018B3">
              <w:rPr>
                <w:rFonts w:eastAsia="Times New Roman"/>
                <w:b/>
                <w:bCs/>
                <w:color w:val="002659"/>
                <w:spacing w:val="10"/>
              </w:rPr>
              <w:t xml:space="preserve"> </w:t>
            </w:r>
            <w:r w:rsidRPr="00B018B3">
              <w:rPr>
                <w:rFonts w:eastAsia="Times New Roman"/>
                <w:color w:val="002659"/>
              </w:rPr>
              <w:t>July 1, 2012</w:t>
            </w:r>
          </w:p>
          <w:p w:rsidR="00B018B3" w:rsidRPr="00B018B3" w:rsidRDefault="00B018B3" w:rsidP="00B018B3">
            <w:pPr>
              <w:spacing w:before="100" w:beforeAutospacing="1" w:after="100" w:afterAutospacing="1"/>
              <w:rPr>
                <w:rFonts w:ascii="Times New Roman" w:eastAsia="Times New Roman" w:hAnsi="Times New Roman" w:cs="Times New Roman"/>
                <w:color w:val="002659"/>
              </w:rPr>
            </w:pPr>
            <w:r w:rsidRPr="00B018B3">
              <w:rPr>
                <w:rFonts w:eastAsia="Times New Roman"/>
                <w:b/>
                <w:bCs/>
                <w:color w:val="002659"/>
                <w:sz w:val="24"/>
                <w:szCs w:val="24"/>
              </w:rPr>
              <w:t xml:space="preserve">Salary: </w:t>
            </w:r>
            <w:r w:rsidRPr="00B018B3">
              <w:rPr>
                <w:rFonts w:eastAsia="Times New Roman"/>
                <w:color w:val="002659"/>
              </w:rPr>
              <w:t>Competitive and commensurate with experience and qualifications.</w:t>
            </w:r>
          </w:p>
          <w:p w:rsidR="00B018B3" w:rsidRPr="00B018B3" w:rsidRDefault="00B018B3" w:rsidP="00B018B3">
            <w:pPr>
              <w:spacing w:before="100" w:beforeAutospacing="1" w:after="100" w:afterAutospacing="1"/>
              <w:rPr>
                <w:rFonts w:ascii="Times New Roman" w:eastAsia="Times New Roman" w:hAnsi="Times New Roman" w:cs="Times New Roman"/>
                <w:color w:val="002659"/>
              </w:rPr>
            </w:pPr>
            <w:r w:rsidRPr="00B018B3">
              <w:rPr>
                <w:rFonts w:ascii="Times New Roman" w:eastAsia="Times New Roman" w:hAnsi="Times New Roman" w:cs="Times New Roman"/>
                <w:color w:val="002659"/>
              </w:rPr>
              <w:t> </w:t>
            </w:r>
          </w:p>
          <w:p w:rsidR="00B018B3" w:rsidRPr="00B018B3" w:rsidRDefault="00B018B3" w:rsidP="00B018B3">
            <w:pPr>
              <w:spacing w:before="100" w:beforeAutospacing="1" w:after="100" w:afterAutospacing="1"/>
              <w:rPr>
                <w:rFonts w:ascii="Times New Roman" w:eastAsia="Times New Roman" w:hAnsi="Times New Roman" w:cs="Times New Roman"/>
                <w:color w:val="002659"/>
              </w:rPr>
            </w:pPr>
            <w:r w:rsidRPr="00B018B3">
              <w:rPr>
                <w:rFonts w:ascii="Times New Roman" w:eastAsia="Times New Roman" w:hAnsi="Times New Roman" w:cs="Times New Roman"/>
                <w:color w:val="002659"/>
                <w:sz w:val="16"/>
                <w:szCs w:val="16"/>
              </w:rPr>
              <w:t> </w:t>
            </w:r>
            <w:r w:rsidRPr="00B018B3">
              <w:rPr>
                <w:rFonts w:eastAsia="Times New Roman"/>
                <w:color w:val="002659"/>
                <w:sz w:val="16"/>
                <w:szCs w:val="16"/>
              </w:rPr>
              <w:t>N.C. A&amp;T COMPLIES WITH THE IMMIGRATION REFORM AND CONTROL ACT OF 1985. WE HIRE ONLY UNITED STATES CITIZENS AND LAWFULLY AUTHORIZED Foreign Nationals. YOU MUST BE ABLE TO PROVIDE DOCUMENTATION OF EMPLOYABILITY AND IDENTITY BASED ON THE LAW.</w:t>
            </w:r>
          </w:p>
          <w:p w:rsidR="00B018B3" w:rsidRPr="00B018B3" w:rsidRDefault="00B018B3" w:rsidP="00B018B3">
            <w:pPr>
              <w:spacing w:before="60"/>
              <w:ind w:right="-144"/>
              <w:rPr>
                <w:rFonts w:ascii="Times New Roman" w:eastAsia="Times New Roman" w:hAnsi="Times New Roman" w:cs="Times New Roman"/>
                <w:color w:val="002659"/>
                <w:sz w:val="24"/>
                <w:szCs w:val="24"/>
              </w:rPr>
            </w:pPr>
            <w:r w:rsidRPr="00B018B3">
              <w:rPr>
                <w:rFonts w:eastAsia="Times New Roman"/>
                <w:color w:val="002659"/>
                <w:sz w:val="14"/>
                <w:szCs w:val="14"/>
              </w:rPr>
              <w:t>A criminal conviction check will be required for any applicant who is selected as a finalist for a position. A criminal record does not necessarily eliminate you from employment with the University. Each conviction will be reviewed with respect to the offense, circumstances, seriousness, and the position for which you apply.</w:t>
            </w:r>
          </w:p>
          <w:p w:rsidR="00B018B3" w:rsidRPr="00B018B3" w:rsidRDefault="00B018B3" w:rsidP="00B018B3">
            <w:pPr>
              <w:spacing w:before="100" w:beforeAutospacing="1" w:after="100" w:afterAutospacing="1"/>
              <w:jc w:val="center"/>
              <w:rPr>
                <w:rFonts w:ascii="Times New Roman" w:eastAsia="Times New Roman" w:hAnsi="Times New Roman" w:cs="Times New Roman"/>
                <w:color w:val="002659"/>
                <w:sz w:val="24"/>
                <w:szCs w:val="24"/>
              </w:rPr>
            </w:pPr>
            <w:r w:rsidRPr="00B018B3">
              <w:rPr>
                <w:rFonts w:eastAsia="Times New Roman"/>
                <w:b/>
                <w:bCs/>
                <w:color w:val="096ABB"/>
                <w:sz w:val="15"/>
                <w:szCs w:val="15"/>
              </w:rPr>
              <w:t>North Carolina A&amp;T State University is a land-grant doctoral/research intensive institution and AA/EEO employer</w:t>
            </w:r>
          </w:p>
        </w:tc>
      </w:tr>
    </w:tbl>
    <w:p w:rsidR="006F39C4" w:rsidRDefault="00F739A6"/>
    <w:sectPr w:rsidR="006F39C4" w:rsidSect="00B2054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8B3"/>
    <w:rsid w:val="00016C1B"/>
    <w:rsid w:val="00160AFE"/>
    <w:rsid w:val="00207EC7"/>
    <w:rsid w:val="00381915"/>
    <w:rsid w:val="003A1217"/>
    <w:rsid w:val="003C7545"/>
    <w:rsid w:val="0047589B"/>
    <w:rsid w:val="004776E3"/>
    <w:rsid w:val="00602B1F"/>
    <w:rsid w:val="00643AB9"/>
    <w:rsid w:val="00755D1D"/>
    <w:rsid w:val="00837D0E"/>
    <w:rsid w:val="008D41A2"/>
    <w:rsid w:val="009029C1"/>
    <w:rsid w:val="009133E3"/>
    <w:rsid w:val="009809E4"/>
    <w:rsid w:val="009F73AE"/>
    <w:rsid w:val="00A60AF2"/>
    <w:rsid w:val="00B018B3"/>
    <w:rsid w:val="00B20543"/>
    <w:rsid w:val="00B33D5B"/>
    <w:rsid w:val="00CD20D8"/>
    <w:rsid w:val="00E51532"/>
    <w:rsid w:val="00E86AB1"/>
    <w:rsid w:val="00EC177C"/>
    <w:rsid w:val="00F73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8B3"/>
    <w:rPr>
      <w:color w:val="105E8B"/>
      <w:u w:val="single"/>
    </w:rPr>
  </w:style>
  <w:style w:type="paragraph" w:styleId="NormalWeb">
    <w:name w:val="Normal (Web)"/>
    <w:basedOn w:val="Normal"/>
    <w:uiPriority w:val="99"/>
    <w:unhideWhenUsed/>
    <w:rsid w:val="00B018B3"/>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Normal"/>
    <w:rsid w:val="00B018B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in@ncat.edu" TargetMode="External"/><Relationship Id="rId4" Type="http://schemas.openxmlformats.org/officeDocument/2006/relationships/hyperlink" Target="http://facultypages.ncat.edu/hr/Documents/Admin-Faculty%20Employment%20Pack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Carolina A&amp;T State University</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mbond</dc:creator>
  <cp:lastModifiedBy>UNC - General Administration</cp:lastModifiedBy>
  <cp:revision>2</cp:revision>
  <dcterms:created xsi:type="dcterms:W3CDTF">2011-12-05T19:36:00Z</dcterms:created>
  <dcterms:modified xsi:type="dcterms:W3CDTF">2011-12-05T19:36:00Z</dcterms:modified>
</cp:coreProperties>
</file>